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386D6" w14:textId="002B826C" w:rsidR="001D3721" w:rsidRPr="00EC1156" w:rsidRDefault="001D3721" w:rsidP="001D3721">
      <w:pPr>
        <w:tabs>
          <w:tab w:val="left" w:pos="1701"/>
          <w:tab w:val="right" w:pos="9639"/>
        </w:tabs>
        <w:spacing w:after="60"/>
        <w:rPr>
          <w:rFonts w:ascii="Arial" w:hAnsi="Arial"/>
          <w:b/>
          <w:kern w:val="0"/>
          <w:sz w:val="32"/>
          <w:szCs w:val="32"/>
          <w:lang w:val="en-US" w:eastAsia="zh-CN"/>
          <w14:ligatures w14:val="none"/>
        </w:rPr>
      </w:pPr>
      <w:r w:rsidRPr="00EC1156">
        <w:rPr>
          <w:rFonts w:ascii="Arial" w:hAnsi="Arial"/>
          <w:b/>
          <w:kern w:val="0"/>
          <w:sz w:val="24"/>
          <w:lang w:val="en-US" w:eastAsia="zh-CN"/>
          <w14:ligatures w14:val="none"/>
        </w:rPr>
        <w:t>3GPP TSG-RAN Meeting #</w:t>
      </w:r>
      <w:r>
        <w:rPr>
          <w:rFonts w:ascii="Arial" w:hAnsi="Arial"/>
          <w:b/>
          <w:kern w:val="0"/>
          <w:sz w:val="24"/>
          <w:lang w:val="en-US" w:eastAsia="zh-CN"/>
          <w14:ligatures w14:val="none"/>
        </w:rPr>
        <w:t>103</w:t>
      </w:r>
      <w:r w:rsidRPr="00EC1156">
        <w:rPr>
          <w:rFonts w:ascii="Arial" w:hAnsi="Arial"/>
          <w:b/>
          <w:kern w:val="0"/>
          <w:sz w:val="24"/>
          <w:lang w:val="en-US" w:eastAsia="zh-CN"/>
          <w14:ligatures w14:val="none"/>
        </w:rPr>
        <w:tab/>
      </w:r>
      <w:r w:rsidRPr="00706E20">
        <w:rPr>
          <w:rFonts w:ascii="Arial" w:hAnsi="Arial"/>
          <w:b/>
          <w:kern w:val="0"/>
          <w:sz w:val="24"/>
          <w:lang w:val="en-US" w:eastAsia="zh-CN"/>
          <w14:ligatures w14:val="none"/>
        </w:rPr>
        <w:t>R</w:t>
      </w:r>
      <w:r>
        <w:rPr>
          <w:rFonts w:ascii="Arial" w:hAnsi="Arial"/>
          <w:b/>
          <w:kern w:val="0"/>
          <w:sz w:val="24"/>
          <w:lang w:val="en-US" w:eastAsia="zh-CN"/>
          <w14:ligatures w14:val="none"/>
        </w:rPr>
        <w:t>P</w:t>
      </w:r>
      <w:r w:rsidRPr="00706E20">
        <w:rPr>
          <w:rFonts w:ascii="Arial" w:hAnsi="Arial"/>
          <w:b/>
          <w:kern w:val="0"/>
          <w:sz w:val="24"/>
          <w:lang w:val="en-US" w:eastAsia="zh-CN"/>
          <w14:ligatures w14:val="none"/>
        </w:rPr>
        <w:t>-240</w:t>
      </w:r>
      <w:r>
        <w:rPr>
          <w:rFonts w:ascii="Arial" w:hAnsi="Arial"/>
          <w:b/>
          <w:kern w:val="0"/>
          <w:sz w:val="24"/>
          <w:lang w:val="en-US" w:eastAsia="zh-CN"/>
          <w14:ligatures w14:val="none"/>
        </w:rPr>
        <w:t>080</w:t>
      </w:r>
    </w:p>
    <w:p w14:paraId="2C673D2F" w14:textId="5497BAB4" w:rsidR="001D3721" w:rsidRPr="001D3721" w:rsidRDefault="001D3721" w:rsidP="001D3721">
      <w:pPr>
        <w:tabs>
          <w:tab w:val="left" w:pos="1701"/>
          <w:tab w:val="right" w:pos="9639"/>
        </w:tabs>
        <w:spacing w:after="240"/>
        <w:rPr>
          <w:rFonts w:ascii="Arial" w:hAnsi="Arial"/>
          <w:b/>
          <w:kern w:val="0"/>
          <w:sz w:val="24"/>
          <w:lang w:eastAsia="zh-CN"/>
          <w14:ligatures w14:val="none"/>
        </w:rPr>
      </w:pPr>
      <w:r>
        <w:rPr>
          <w:rFonts w:ascii="Arial" w:hAnsi="Arial"/>
          <w:b/>
          <w:kern w:val="0"/>
          <w:sz w:val="24"/>
          <w:lang w:eastAsia="zh-CN"/>
          <w14:ligatures w14:val="none"/>
        </w:rPr>
        <w:t>Maastricht, Netherlands, 18</w:t>
      </w:r>
      <w:r w:rsidRPr="00B97A32">
        <w:rPr>
          <w:rFonts w:ascii="Arial" w:hAnsi="Arial"/>
          <w:b/>
          <w:kern w:val="0"/>
          <w:sz w:val="24"/>
          <w:vertAlign w:val="superscript"/>
          <w:lang w:eastAsia="zh-CN"/>
          <w14:ligatures w14:val="none"/>
        </w:rPr>
        <w:t>th</w:t>
      </w:r>
      <w:r>
        <w:rPr>
          <w:rFonts w:ascii="Arial" w:hAnsi="Arial"/>
          <w:b/>
          <w:kern w:val="0"/>
          <w:sz w:val="24"/>
          <w:lang w:eastAsia="zh-CN"/>
          <w14:ligatures w14:val="none"/>
        </w:rPr>
        <w:t xml:space="preserve"> – 21</w:t>
      </w:r>
      <w:r w:rsidRPr="00B97A32">
        <w:rPr>
          <w:rFonts w:ascii="Arial" w:hAnsi="Arial"/>
          <w:b/>
          <w:kern w:val="0"/>
          <w:sz w:val="24"/>
          <w:vertAlign w:val="superscript"/>
          <w:lang w:eastAsia="zh-CN"/>
          <w14:ligatures w14:val="none"/>
        </w:rPr>
        <w:t>st</w:t>
      </w:r>
      <w:r>
        <w:rPr>
          <w:rFonts w:ascii="Arial" w:hAnsi="Arial"/>
          <w:b/>
          <w:kern w:val="0"/>
          <w:sz w:val="24"/>
          <w:lang w:eastAsia="zh-CN"/>
          <w14:ligatures w14:val="none"/>
        </w:rPr>
        <w:t xml:space="preserve"> March 2024</w:t>
      </w:r>
    </w:p>
    <w:p w14:paraId="4424899E" w14:textId="6AD33EBD" w:rsidR="00EC1156" w:rsidRDefault="00EC1156" w:rsidP="00EC1156">
      <w:pPr>
        <w:pStyle w:val="3GPPHeader"/>
        <w:jc w:val="left"/>
        <w:rPr>
          <w:sz w:val="22"/>
          <w:lang w:val="en-GB"/>
        </w:rPr>
      </w:pPr>
      <w:r>
        <w:rPr>
          <w:sz w:val="22"/>
          <w:lang w:val="en-GB"/>
        </w:rPr>
        <w:t>Agenda Item:</w:t>
      </w:r>
      <w:r>
        <w:rPr>
          <w:sz w:val="22"/>
          <w:lang w:val="en-GB"/>
        </w:rPr>
        <w:tab/>
      </w:r>
      <w:r w:rsidR="001D3721" w:rsidRPr="001D3721">
        <w:rPr>
          <w:sz w:val="22"/>
          <w:lang w:val="en-GB"/>
        </w:rPr>
        <w:t>8.18.6.1</w:t>
      </w:r>
    </w:p>
    <w:p w14:paraId="06002318" w14:textId="610D6FE5" w:rsidR="00F734AC" w:rsidRDefault="00F734AC" w:rsidP="00F734AC">
      <w:pPr>
        <w:pStyle w:val="3GPPHeader"/>
        <w:spacing w:line="257" w:lineRule="auto"/>
        <w:ind w:left="1701" w:hanging="1701"/>
        <w:jc w:val="left"/>
        <w:rPr>
          <w:sz w:val="22"/>
          <w:lang w:val="en-GB"/>
        </w:rPr>
      </w:pPr>
      <w:r>
        <w:rPr>
          <w:sz w:val="22"/>
          <w:lang w:val="en-GB"/>
        </w:rPr>
        <w:t>Source:</w:t>
      </w:r>
      <w:r>
        <w:rPr>
          <w:sz w:val="22"/>
          <w:lang w:val="en-GB"/>
        </w:rPr>
        <w:tab/>
        <w:t>Eutelsat Group</w:t>
      </w:r>
    </w:p>
    <w:p w14:paraId="157003DE" w14:textId="3563D8C3" w:rsidR="00EC1156" w:rsidRDefault="00EC1156" w:rsidP="00EC1156">
      <w:pPr>
        <w:pStyle w:val="3GPPHeader"/>
        <w:jc w:val="left"/>
        <w:rPr>
          <w:sz w:val="22"/>
          <w:lang w:val="en-GB"/>
        </w:rPr>
      </w:pPr>
      <w:r>
        <w:rPr>
          <w:sz w:val="22"/>
          <w:lang w:val="en-GB"/>
        </w:rPr>
        <w:t>Title:</w:t>
      </w:r>
      <w:r>
        <w:rPr>
          <w:sz w:val="22"/>
          <w:lang w:val="en-GB"/>
        </w:rPr>
        <w:tab/>
      </w:r>
      <w:r w:rsidR="00EB525F">
        <w:rPr>
          <w:sz w:val="22"/>
          <w:lang w:val="en-GB"/>
        </w:rPr>
        <w:t xml:space="preserve">Regulatory </w:t>
      </w:r>
      <w:r w:rsidR="001112CA">
        <w:rPr>
          <w:sz w:val="22"/>
          <w:lang w:val="en-GB"/>
        </w:rPr>
        <w:t>s</w:t>
      </w:r>
      <w:r w:rsidR="00EB525F">
        <w:rPr>
          <w:sz w:val="22"/>
          <w:lang w:val="en-GB"/>
        </w:rPr>
        <w:t xml:space="preserve">tatus of </w:t>
      </w:r>
      <w:r w:rsidR="008D4B4B" w:rsidRPr="008D4B4B">
        <w:rPr>
          <w:sz w:val="22"/>
          <w:lang w:val="en-GB"/>
        </w:rPr>
        <w:t>NTN in bands above 10</w:t>
      </w:r>
      <w:r w:rsidR="00EE20F8">
        <w:rPr>
          <w:sz w:val="22"/>
          <w:lang w:val="en-GB"/>
        </w:rPr>
        <w:t xml:space="preserve"> </w:t>
      </w:r>
      <w:r w:rsidR="008D4B4B" w:rsidRPr="008D4B4B">
        <w:rPr>
          <w:sz w:val="22"/>
          <w:lang w:val="en-GB"/>
        </w:rPr>
        <w:t>GHz</w:t>
      </w:r>
      <w:r w:rsidR="00CA1D38">
        <w:rPr>
          <w:sz w:val="22"/>
          <w:lang w:val="en-GB"/>
        </w:rPr>
        <w:t xml:space="preserve"> </w:t>
      </w:r>
      <w:r w:rsidR="00EB525F">
        <w:rPr>
          <w:sz w:val="22"/>
          <w:lang w:val="en-GB"/>
        </w:rPr>
        <w:t>post WRC</w:t>
      </w:r>
      <w:r w:rsidR="00250D36">
        <w:rPr>
          <w:sz w:val="22"/>
          <w:lang w:val="en-GB"/>
        </w:rPr>
        <w:t>-</w:t>
      </w:r>
      <w:r w:rsidR="00EB525F">
        <w:rPr>
          <w:sz w:val="22"/>
          <w:lang w:val="en-GB"/>
        </w:rPr>
        <w:t>23</w:t>
      </w:r>
    </w:p>
    <w:p w14:paraId="05511DF7" w14:textId="54839C2C" w:rsidR="00EC1156" w:rsidRDefault="00EC1156" w:rsidP="00EC1156">
      <w:pPr>
        <w:pStyle w:val="3GPPHeader"/>
        <w:jc w:val="left"/>
        <w:rPr>
          <w:sz w:val="22"/>
          <w:lang w:val="en-GB"/>
        </w:rPr>
      </w:pPr>
      <w:r>
        <w:rPr>
          <w:sz w:val="22"/>
          <w:lang w:val="en-GB"/>
        </w:rPr>
        <w:t>Document for:</w:t>
      </w:r>
      <w:r>
        <w:rPr>
          <w:sz w:val="22"/>
          <w:lang w:val="en-GB"/>
        </w:rPr>
        <w:tab/>
      </w:r>
      <w:r w:rsidR="001D3721">
        <w:rPr>
          <w:sz w:val="22"/>
          <w:lang w:val="en-GB"/>
        </w:rPr>
        <w:t xml:space="preserve">Discussion / </w:t>
      </w:r>
      <w:r>
        <w:rPr>
          <w:sz w:val="22"/>
          <w:lang w:val="en-GB"/>
        </w:rPr>
        <w:t>Information</w:t>
      </w:r>
    </w:p>
    <w:p w14:paraId="21ACEB28" w14:textId="45F4D951" w:rsidR="00E26FA0" w:rsidRPr="00E94F08" w:rsidRDefault="00E94F08" w:rsidP="00E94F08">
      <w:pPr>
        <w:pStyle w:val="Heading1"/>
      </w:pPr>
      <w:r w:rsidRPr="00E94F08">
        <w:t>1</w:t>
      </w:r>
      <w:r w:rsidRPr="00E94F08">
        <w:tab/>
      </w:r>
      <w:r w:rsidR="00EB525F" w:rsidRPr="00E94F08">
        <w:t>Introduction</w:t>
      </w:r>
    </w:p>
    <w:p w14:paraId="2CC48F2A" w14:textId="5D7FDD15" w:rsidR="00EB525F" w:rsidRDefault="00EB525F" w:rsidP="00D8431D">
      <w:pPr>
        <w:rPr>
          <w:lang w:eastAsia="ja-JP"/>
        </w:rPr>
      </w:pPr>
      <w:r>
        <w:rPr>
          <w:lang w:eastAsia="ja-JP"/>
        </w:rPr>
        <w:t>Th</w:t>
      </w:r>
      <w:r w:rsidR="00291EF1">
        <w:rPr>
          <w:lang w:eastAsia="ja-JP"/>
        </w:rPr>
        <w:t>e</w:t>
      </w:r>
      <w:r>
        <w:rPr>
          <w:lang w:eastAsia="ja-JP"/>
        </w:rPr>
        <w:t xml:space="preserve"> </w:t>
      </w:r>
      <w:r w:rsidR="00291EF1">
        <w:rPr>
          <w:lang w:eastAsia="ja-JP"/>
        </w:rPr>
        <w:t xml:space="preserve">present document </w:t>
      </w:r>
      <w:r>
        <w:rPr>
          <w:lang w:eastAsia="ja-JP"/>
        </w:rPr>
        <w:t xml:space="preserve">provides the regulatory status of </w:t>
      </w:r>
      <w:r w:rsidR="00D8431D">
        <w:rPr>
          <w:lang w:eastAsia="ja-JP"/>
        </w:rPr>
        <w:t>bands above 10</w:t>
      </w:r>
      <w:r w:rsidR="00333DB8">
        <w:rPr>
          <w:lang w:eastAsia="ja-JP"/>
        </w:rPr>
        <w:t xml:space="preserve"> </w:t>
      </w:r>
      <w:r w:rsidR="00D8431D">
        <w:rPr>
          <w:lang w:eastAsia="ja-JP"/>
        </w:rPr>
        <w:t xml:space="preserve">GHz applicable to NTN, incorporating outcomes of the </w:t>
      </w:r>
      <w:r>
        <w:rPr>
          <w:lang w:eastAsia="ja-JP"/>
        </w:rPr>
        <w:t>WRC</w:t>
      </w:r>
      <w:r w:rsidR="00291EF1">
        <w:rPr>
          <w:lang w:eastAsia="ja-JP"/>
        </w:rPr>
        <w:t>-</w:t>
      </w:r>
      <w:r>
        <w:rPr>
          <w:lang w:eastAsia="ja-JP"/>
        </w:rPr>
        <w:t xml:space="preserve">23 </w:t>
      </w:r>
      <w:r w:rsidR="00291EF1">
        <w:rPr>
          <w:lang w:eastAsia="ja-JP"/>
        </w:rPr>
        <w:t xml:space="preserve">ITU conference </w:t>
      </w:r>
      <w:r>
        <w:rPr>
          <w:lang w:eastAsia="ja-JP"/>
        </w:rPr>
        <w:t>in December 2023</w:t>
      </w:r>
      <w:r w:rsidR="00D8431D">
        <w:rPr>
          <w:lang w:eastAsia="ja-JP"/>
        </w:rPr>
        <w:t xml:space="preserve">. </w:t>
      </w:r>
      <w:r w:rsidR="00333DB8">
        <w:rPr>
          <w:lang w:eastAsia="ja-JP"/>
        </w:rPr>
        <w:t xml:space="preserve">WRC-23 </w:t>
      </w:r>
      <w:r w:rsidR="00D8431D">
        <w:rPr>
          <w:lang w:eastAsia="ja-JP"/>
        </w:rPr>
        <w:t>added mobile VSAT to the Ka band</w:t>
      </w:r>
      <w:r w:rsidR="003D51B4">
        <w:rPr>
          <w:lang w:eastAsia="ja-JP"/>
        </w:rPr>
        <w:t xml:space="preserve"> (17.7 - 30.0 GHz)</w:t>
      </w:r>
      <w:r w:rsidR="00D8431D">
        <w:rPr>
          <w:lang w:eastAsia="ja-JP"/>
        </w:rPr>
        <w:t xml:space="preserve">, and </w:t>
      </w:r>
      <w:r w:rsidR="008D0FD6">
        <w:rPr>
          <w:lang w:eastAsia="ja-JP"/>
        </w:rPr>
        <w:t>re-enforced the global consensus for continued priority for satellite operation in the Ku band</w:t>
      </w:r>
      <w:r w:rsidR="003D51B4">
        <w:rPr>
          <w:lang w:eastAsia="ja-JP"/>
        </w:rPr>
        <w:t xml:space="preserve"> (10.7 -14.5 GHz)</w:t>
      </w:r>
      <w:r w:rsidR="008D0FD6">
        <w:rPr>
          <w:lang w:eastAsia="ja-JP"/>
        </w:rPr>
        <w:t>.</w:t>
      </w:r>
    </w:p>
    <w:p w14:paraId="6C2DA9E5" w14:textId="5D41E572" w:rsidR="00F66B38" w:rsidRDefault="00E94F08" w:rsidP="00D8431D">
      <w:pPr>
        <w:pStyle w:val="Heading1"/>
      </w:pPr>
      <w:r>
        <w:t>2</w:t>
      </w:r>
      <w:r>
        <w:tab/>
      </w:r>
      <w:r w:rsidR="00F66B38">
        <w:t xml:space="preserve">Ka </w:t>
      </w:r>
      <w:r w:rsidR="00D8431D">
        <w:t xml:space="preserve">band </w:t>
      </w:r>
      <w:r w:rsidR="00640D8F">
        <w:t>17.7 – 30.0 GHz</w:t>
      </w:r>
    </w:p>
    <w:p w14:paraId="17498DF8" w14:textId="076844D6" w:rsidR="00640D8F" w:rsidRDefault="00D8431D" w:rsidP="003D51B4">
      <w:pPr>
        <w:rPr>
          <w:lang w:eastAsia="ja-JP"/>
        </w:rPr>
      </w:pPr>
      <w:r>
        <w:rPr>
          <w:lang w:eastAsia="ja-JP"/>
        </w:rPr>
        <w:t xml:space="preserve">The almost complete Rel-18 specifications for NTN </w:t>
      </w:r>
      <w:r w:rsidR="003D51B4">
        <w:rPr>
          <w:lang w:eastAsia="ja-JP"/>
        </w:rPr>
        <w:t xml:space="preserve">in bands </w:t>
      </w:r>
      <w:r>
        <w:rPr>
          <w:lang w:eastAsia="ja-JP"/>
        </w:rPr>
        <w:t>above 10 GHz cover deployment requirements and use cases for the Ka band within the scope of the ITU-R following WRC-19</w:t>
      </w:r>
      <w:r w:rsidR="00CB7414">
        <w:rPr>
          <w:lang w:eastAsia="ja-JP"/>
        </w:rPr>
        <w:t xml:space="preserve">. This did not permit what the ITU-R terms as </w:t>
      </w:r>
      <w:r>
        <w:rPr>
          <w:lang w:eastAsia="ja-JP"/>
        </w:rPr>
        <w:t>non-GSO ESIM</w:t>
      </w:r>
      <w:r w:rsidR="003D51B4">
        <w:rPr>
          <w:lang w:eastAsia="ja-JP"/>
        </w:rPr>
        <w:t xml:space="preserve"> (Earth Stat</w:t>
      </w:r>
      <w:r w:rsidR="00640D8F">
        <w:rPr>
          <w:lang w:eastAsia="ja-JP"/>
        </w:rPr>
        <w:t>ion In Motion)</w:t>
      </w:r>
      <w:r w:rsidR="00CB7414">
        <w:rPr>
          <w:lang w:eastAsia="ja-JP"/>
        </w:rPr>
        <w:t xml:space="preserve"> – which 3GPP refer to as “mobile VSAT” </w:t>
      </w:r>
    </w:p>
    <w:p w14:paraId="7016C09B" w14:textId="71A1A76A" w:rsidR="00D8431D" w:rsidRDefault="00640D8F" w:rsidP="00640D8F">
      <w:pPr>
        <w:rPr>
          <w:lang w:eastAsia="ja-JP"/>
        </w:rPr>
      </w:pPr>
      <w:r>
        <w:rPr>
          <w:lang w:eastAsia="ja-JP"/>
        </w:rPr>
        <w:t xml:space="preserve">Non-GSO ESIM in Ka </w:t>
      </w:r>
      <w:r w:rsidR="003D51B4">
        <w:rPr>
          <w:lang w:eastAsia="ja-JP"/>
        </w:rPr>
        <w:t xml:space="preserve">was reviewed </w:t>
      </w:r>
      <w:r w:rsidR="00D8431D">
        <w:rPr>
          <w:lang w:eastAsia="ja-JP"/>
        </w:rPr>
        <w:t>at WRC-23 under agenda item 1.16</w:t>
      </w:r>
      <w:r w:rsidR="00CB7414">
        <w:rPr>
          <w:lang w:eastAsia="ja-JP"/>
        </w:rPr>
        <w:t xml:space="preserve"> and r</w:t>
      </w:r>
      <w:r w:rsidR="00D8431D">
        <w:rPr>
          <w:lang w:eastAsia="ja-JP"/>
        </w:rPr>
        <w:t>esolution COM5/3 (WRC-23)</w:t>
      </w:r>
      <w:r w:rsidR="003D51B4">
        <w:rPr>
          <w:lang w:eastAsia="ja-JP"/>
        </w:rPr>
        <w:t xml:space="preserve"> updates u</w:t>
      </w:r>
      <w:r w:rsidR="00D8431D">
        <w:rPr>
          <w:lang w:eastAsia="ja-JP"/>
        </w:rPr>
        <w:t>se of the frequency bands 17.7-18.6 GHz, 18.8-19.3 GHz</w:t>
      </w:r>
      <w:r w:rsidR="003D51B4">
        <w:rPr>
          <w:lang w:eastAsia="ja-JP"/>
        </w:rPr>
        <w:t xml:space="preserve">, </w:t>
      </w:r>
      <w:r w:rsidR="00D8431D">
        <w:rPr>
          <w:lang w:eastAsia="ja-JP"/>
        </w:rPr>
        <w:t>19.7-20.2 GHz (space-to-Earth) and 27.5-29.1 GHz and 29.5-30 GHz (Earth-to-space)</w:t>
      </w:r>
      <w:r w:rsidR="003D51B4">
        <w:rPr>
          <w:lang w:eastAsia="ja-JP"/>
        </w:rPr>
        <w:t>.</w:t>
      </w:r>
      <w:r w:rsidR="00D8431D">
        <w:rPr>
          <w:lang w:eastAsia="ja-JP"/>
        </w:rPr>
        <w:t xml:space="preserve"> </w:t>
      </w:r>
      <w:r w:rsidR="003D51B4">
        <w:rPr>
          <w:lang w:eastAsia="ja-JP"/>
        </w:rPr>
        <w:t>Th</w:t>
      </w:r>
      <w:r>
        <w:rPr>
          <w:lang w:eastAsia="ja-JP"/>
        </w:rPr>
        <w:t>e</w:t>
      </w:r>
      <w:r w:rsidR="003D51B4">
        <w:rPr>
          <w:lang w:eastAsia="ja-JP"/>
        </w:rPr>
        <w:t xml:space="preserve"> resolution adds </w:t>
      </w:r>
      <w:r w:rsidR="00D8431D">
        <w:rPr>
          <w:lang w:eastAsia="ja-JP"/>
        </w:rPr>
        <w:t xml:space="preserve">aeronautical and maritime </w:t>
      </w:r>
      <w:r>
        <w:rPr>
          <w:lang w:eastAsia="ja-JP"/>
        </w:rPr>
        <w:t xml:space="preserve">ESIMs </w:t>
      </w:r>
      <w:r w:rsidR="00D8431D">
        <w:rPr>
          <w:lang w:eastAsia="ja-JP"/>
        </w:rPr>
        <w:t>communicating with non-geostationary space stations in the fixed-satellite service [</w:t>
      </w:r>
      <w:r w:rsidR="00016442">
        <w:rPr>
          <w:lang w:eastAsia="ja-JP"/>
        </w:rPr>
        <w:t>2</w:t>
      </w:r>
      <w:r w:rsidR="00D8431D">
        <w:rPr>
          <w:lang w:eastAsia="ja-JP"/>
        </w:rPr>
        <w:t>].</w:t>
      </w:r>
      <w:r>
        <w:rPr>
          <w:lang w:eastAsia="ja-JP"/>
        </w:rPr>
        <w:t xml:space="preserve">  </w:t>
      </w:r>
    </w:p>
    <w:p w14:paraId="030F02AA" w14:textId="3ACD6A3D" w:rsidR="00640D8F" w:rsidRPr="00D47119" w:rsidRDefault="00640D8F" w:rsidP="00640D8F">
      <w:pPr>
        <w:rPr>
          <w:lang w:eastAsia="ja-JP"/>
        </w:rPr>
      </w:pPr>
      <w:r>
        <w:rPr>
          <w:lang w:eastAsia="ja-JP"/>
        </w:rPr>
        <w:t>In [3] we propose that the Rel-18 standards gap of Mobile VSAT to NGSO should be addressed in the Rel-19 RAN4 non spectrum package, now that the regulatory blocker has been removed.</w:t>
      </w:r>
    </w:p>
    <w:p w14:paraId="5071CB74" w14:textId="440C2B45" w:rsidR="00CC157C" w:rsidRPr="00E94F08" w:rsidRDefault="00E94F08" w:rsidP="00E94F08">
      <w:pPr>
        <w:pStyle w:val="Heading1"/>
      </w:pPr>
      <w:r w:rsidRPr="00E94F08">
        <w:t>3</w:t>
      </w:r>
      <w:r w:rsidRPr="00E94F08">
        <w:tab/>
      </w:r>
      <w:r w:rsidR="00CC157C" w:rsidRPr="00E94F08">
        <w:t xml:space="preserve">Ku Band </w:t>
      </w:r>
      <w:r w:rsidR="00640D8F" w:rsidRPr="00E94F08">
        <w:t>10.7 – 14.5 GHz</w:t>
      </w:r>
    </w:p>
    <w:p w14:paraId="4D6EA52D" w14:textId="2070CC73" w:rsidR="00D8431D" w:rsidRPr="00D47119" w:rsidRDefault="00D8431D" w:rsidP="00D47119">
      <w:pPr>
        <w:rPr>
          <w:lang w:eastAsia="ja-JP"/>
        </w:rPr>
      </w:pPr>
      <w:r>
        <w:rPr>
          <w:lang w:eastAsia="ja-JP"/>
        </w:rPr>
        <w:t>Eutelsat Group operates fixed and mobile satellite services in Ku band and is planning to launch a new constellation to provide 5G NR NTN services in 2027 to operate commercial services in 2028.  Following the release 18 work on NTN in bands above 10</w:t>
      </w:r>
      <w:r w:rsidR="00CB7414">
        <w:rPr>
          <w:lang w:eastAsia="ja-JP"/>
        </w:rPr>
        <w:t xml:space="preserve"> </w:t>
      </w:r>
      <w:r>
        <w:rPr>
          <w:lang w:eastAsia="ja-JP"/>
        </w:rPr>
        <w:t xml:space="preserve">GHz which used Ka as the example band, we will be proposing to add support </w:t>
      </w:r>
      <w:r w:rsidR="00CB7414">
        <w:rPr>
          <w:lang w:eastAsia="ja-JP"/>
        </w:rPr>
        <w:t xml:space="preserve">for the </w:t>
      </w:r>
      <w:r>
        <w:rPr>
          <w:lang w:eastAsia="ja-JP"/>
        </w:rPr>
        <w:t xml:space="preserve">Ku band </w:t>
      </w:r>
      <w:r w:rsidR="00CB7414">
        <w:rPr>
          <w:lang w:eastAsia="ja-JP"/>
        </w:rPr>
        <w:t>within release 19</w:t>
      </w:r>
      <w:r>
        <w:rPr>
          <w:lang w:eastAsia="ja-JP"/>
        </w:rPr>
        <w:t>.</w:t>
      </w:r>
      <w:r w:rsidR="00CB7414">
        <w:rPr>
          <w:lang w:eastAsia="ja-JP"/>
        </w:rPr>
        <w:t xml:space="preserve"> As with Ka, consensus from WRC-23 removes any remaining regulatory uncertainties.</w:t>
      </w:r>
    </w:p>
    <w:p w14:paraId="204A86DF" w14:textId="70F2492A" w:rsidR="00CC157C" w:rsidRDefault="00CC157C" w:rsidP="00CC157C">
      <w:pPr>
        <w:rPr>
          <w:lang w:eastAsia="ja-JP"/>
        </w:rPr>
      </w:pPr>
      <w:r>
        <w:rPr>
          <w:lang w:eastAsia="ja-JP"/>
        </w:rPr>
        <w:t>Figure 1 shows the frequency ranges of the Ku band downlink and uplinks, as well as the adjacent space science service below 10.7 GHz and the proposed future IMT band above 14.8 GHz.</w:t>
      </w:r>
    </w:p>
    <w:p w14:paraId="6624CCDC" w14:textId="13B78CFD" w:rsidR="00CC157C" w:rsidRPr="00EB525F" w:rsidRDefault="005B5110" w:rsidP="00CC157C">
      <w:pPr>
        <w:rPr>
          <w:b/>
          <w:bCs/>
          <w:lang w:eastAsia="ja-JP"/>
        </w:rPr>
      </w:pPr>
      <w:r>
        <w:rPr>
          <w:b/>
          <w:bCs/>
          <w:noProof/>
          <w:lang w:eastAsia="ja-JP"/>
        </w:rPr>
        <w:lastRenderedPageBreak/>
        <w:drawing>
          <wp:inline distT="0" distB="0" distL="0" distR="0" wp14:anchorId="44ADAD43" wp14:editId="454B145D">
            <wp:extent cx="6030595" cy="1065143"/>
            <wp:effectExtent l="0" t="0" r="0" b="0"/>
            <wp:docPr id="1009824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61057" cy="1070523"/>
                    </a:xfrm>
                    <a:prstGeom prst="rect">
                      <a:avLst/>
                    </a:prstGeom>
                    <a:noFill/>
                  </pic:spPr>
                </pic:pic>
              </a:graphicData>
            </a:graphic>
          </wp:inline>
        </w:drawing>
      </w:r>
    </w:p>
    <w:p w14:paraId="2CD40870" w14:textId="77777777" w:rsidR="00CC157C" w:rsidRDefault="00CC157C" w:rsidP="00CC157C">
      <w:pPr>
        <w:jc w:val="center"/>
        <w:rPr>
          <w:b/>
          <w:bCs/>
          <w:lang w:eastAsia="ja-JP"/>
        </w:rPr>
      </w:pPr>
      <w:r w:rsidRPr="00EB525F">
        <w:rPr>
          <w:b/>
          <w:bCs/>
          <w:lang w:eastAsia="ja-JP"/>
        </w:rPr>
        <w:t>Figure 1 Frequency Range of Ku band and adjacent services</w:t>
      </w:r>
    </w:p>
    <w:p w14:paraId="142D4733" w14:textId="77777777" w:rsidR="00AF4EBB" w:rsidRPr="00EB525F" w:rsidRDefault="00AF4EBB" w:rsidP="00AF4EBB">
      <w:pPr>
        <w:rPr>
          <w:lang w:eastAsia="ja-JP"/>
        </w:rPr>
      </w:pPr>
    </w:p>
    <w:p w14:paraId="5821F6DA" w14:textId="69201286" w:rsidR="00661E48" w:rsidRDefault="00661E48" w:rsidP="00661E48">
      <w:pPr>
        <w:pStyle w:val="Heading2"/>
        <w:rPr>
          <w:lang w:eastAsia="ja-JP"/>
        </w:rPr>
      </w:pPr>
      <w:r>
        <w:rPr>
          <w:lang w:eastAsia="ja-JP"/>
        </w:rPr>
        <w:t>Note 1</w:t>
      </w:r>
      <w:r w:rsidR="008D4B4B">
        <w:rPr>
          <w:lang w:eastAsia="ja-JP"/>
        </w:rPr>
        <w:t>:</w:t>
      </w:r>
      <w:r>
        <w:rPr>
          <w:lang w:eastAsia="ja-JP"/>
        </w:rPr>
        <w:t xml:space="preserve"> Radio Astronomy</w:t>
      </w:r>
      <w:r w:rsidR="00151DF2">
        <w:rPr>
          <w:lang w:eastAsia="ja-JP"/>
        </w:rPr>
        <w:t>,</w:t>
      </w:r>
      <w:r w:rsidR="00820B02">
        <w:rPr>
          <w:lang w:eastAsia="ja-JP"/>
        </w:rPr>
        <w:t xml:space="preserve"> Earth Exploration </w:t>
      </w:r>
      <w:r w:rsidR="008D4B4B">
        <w:rPr>
          <w:lang w:eastAsia="ja-JP"/>
        </w:rPr>
        <w:t xml:space="preserve">Satellite </w:t>
      </w:r>
      <w:r w:rsidR="00820B02">
        <w:rPr>
          <w:lang w:eastAsia="ja-JP"/>
        </w:rPr>
        <w:t xml:space="preserve">(passive) </w:t>
      </w:r>
      <w:r w:rsidR="008D4B4B">
        <w:rPr>
          <w:lang w:eastAsia="ja-JP"/>
        </w:rPr>
        <w:t xml:space="preserve">Services </w:t>
      </w:r>
      <w:r w:rsidR="00151DF2">
        <w:rPr>
          <w:lang w:eastAsia="ja-JP"/>
        </w:rPr>
        <w:t>and passive band</w:t>
      </w:r>
      <w:r>
        <w:rPr>
          <w:lang w:eastAsia="ja-JP"/>
        </w:rPr>
        <w:t xml:space="preserve"> below 10.7 GHz</w:t>
      </w:r>
    </w:p>
    <w:p w14:paraId="113FD506" w14:textId="67F02A00" w:rsidR="00EB525F" w:rsidRPr="00EB525F" w:rsidRDefault="00820B02" w:rsidP="004226B4">
      <w:pPr>
        <w:rPr>
          <w:i/>
          <w:iCs/>
          <w:lang w:eastAsia="ja-JP"/>
        </w:rPr>
      </w:pPr>
      <w:r>
        <w:t xml:space="preserve">The 10.6-10.7 GHz band involves two allocations. The band contains a primary allocation to RAS </w:t>
      </w:r>
      <w:r w:rsidR="008D4B4B">
        <w:t xml:space="preserve">(Radio Astronomy Service) </w:t>
      </w:r>
      <w:r>
        <w:t xml:space="preserve">and </w:t>
      </w:r>
      <w:r w:rsidR="008D4B4B">
        <w:t xml:space="preserve">(passive) </w:t>
      </w:r>
      <w:r>
        <w:t xml:space="preserve">EESS </w:t>
      </w:r>
      <w:r w:rsidR="008D4B4B">
        <w:t xml:space="preserve">(Earth Exploration Space Service) </w:t>
      </w:r>
      <w:r>
        <w:t xml:space="preserve">and the 10.68-10.7 GHz band is also a passive band (No. 5.340). </w:t>
      </w:r>
    </w:p>
    <w:p w14:paraId="77F16ACB" w14:textId="699C6872" w:rsidR="008D0FD6" w:rsidRDefault="00EB525F" w:rsidP="00265DBD">
      <w:pPr>
        <w:pStyle w:val="Heading2"/>
        <w:rPr>
          <w:lang w:eastAsia="ja-JP"/>
        </w:rPr>
      </w:pPr>
      <w:r w:rsidRPr="00066A6C">
        <w:rPr>
          <w:lang w:eastAsia="ja-JP"/>
        </w:rPr>
        <w:t>Note</w:t>
      </w:r>
      <w:r w:rsidR="00215A59" w:rsidRPr="00066A6C">
        <w:rPr>
          <w:lang w:eastAsia="ja-JP"/>
        </w:rPr>
        <w:t xml:space="preserve"> </w:t>
      </w:r>
      <w:r w:rsidRPr="00066A6C">
        <w:rPr>
          <w:lang w:eastAsia="ja-JP"/>
        </w:rPr>
        <w:t>2</w:t>
      </w:r>
      <w:r w:rsidR="008D4B4B">
        <w:rPr>
          <w:lang w:eastAsia="ja-JP"/>
        </w:rPr>
        <w:t>:</w:t>
      </w:r>
      <w:r w:rsidRPr="00EB525F">
        <w:rPr>
          <w:b/>
          <w:bCs/>
          <w:i/>
          <w:iCs/>
          <w:lang w:eastAsia="ja-JP"/>
        </w:rPr>
        <w:t xml:space="preserve"> </w:t>
      </w:r>
      <w:r w:rsidR="00CC157C">
        <w:rPr>
          <w:lang w:eastAsia="ja-JP"/>
        </w:rPr>
        <w:t xml:space="preserve">Ku downlink </w:t>
      </w:r>
      <w:r w:rsidR="00265DBD">
        <w:rPr>
          <w:lang w:eastAsia="ja-JP"/>
        </w:rPr>
        <w:t>extends to 12.75 GHz in Region</w:t>
      </w:r>
      <w:r w:rsidR="00672B88">
        <w:rPr>
          <w:lang w:eastAsia="ja-JP"/>
        </w:rPr>
        <w:t>s</w:t>
      </w:r>
      <w:r w:rsidR="00265DBD">
        <w:rPr>
          <w:lang w:eastAsia="ja-JP"/>
        </w:rPr>
        <w:t xml:space="preserve"> </w:t>
      </w:r>
      <w:r w:rsidR="00672B88">
        <w:rPr>
          <w:lang w:eastAsia="ja-JP"/>
        </w:rPr>
        <w:t>1 &amp; 3</w:t>
      </w:r>
    </w:p>
    <w:p w14:paraId="72C0D619" w14:textId="5BC19595" w:rsidR="001D2EA9" w:rsidRDefault="00F776D8" w:rsidP="001D2EA9">
      <w:pPr>
        <w:rPr>
          <w:lang w:eastAsia="ja-JP"/>
        </w:rPr>
      </w:pPr>
      <w:r>
        <w:rPr>
          <w:lang w:eastAsia="ja-JP"/>
        </w:rPr>
        <w:t>The upper end of the Ku downlink range is 12.70 GHz in Region</w:t>
      </w:r>
      <w:r w:rsidR="00311988">
        <w:rPr>
          <w:lang w:eastAsia="ja-JP"/>
        </w:rPr>
        <w:t xml:space="preserve"> 2 and </w:t>
      </w:r>
      <w:r>
        <w:rPr>
          <w:lang w:eastAsia="ja-JP"/>
        </w:rPr>
        <w:t xml:space="preserve">12.75 </w:t>
      </w:r>
      <w:r w:rsidR="00A41381">
        <w:rPr>
          <w:lang w:eastAsia="ja-JP"/>
        </w:rPr>
        <w:t xml:space="preserve">GHz </w:t>
      </w:r>
      <w:r>
        <w:rPr>
          <w:lang w:eastAsia="ja-JP"/>
        </w:rPr>
        <w:t>in region</w:t>
      </w:r>
      <w:r w:rsidR="00311988">
        <w:rPr>
          <w:lang w:eastAsia="ja-JP"/>
        </w:rPr>
        <w:t>s 1 &amp; 3</w:t>
      </w:r>
      <w:r w:rsidR="003A0344">
        <w:rPr>
          <w:lang w:eastAsia="ja-JP"/>
        </w:rPr>
        <w:t>.</w:t>
      </w:r>
    </w:p>
    <w:p w14:paraId="4AD4DEDC" w14:textId="2F3D76AC" w:rsidR="00066A6C" w:rsidRPr="00066A6C" w:rsidRDefault="00066A6C" w:rsidP="00066A6C">
      <w:pPr>
        <w:pStyle w:val="Heading2"/>
        <w:rPr>
          <w:lang w:eastAsia="ja-JP"/>
        </w:rPr>
      </w:pPr>
      <w:r w:rsidRPr="00066A6C">
        <w:rPr>
          <w:lang w:eastAsia="ja-JP"/>
        </w:rPr>
        <w:t>Note</w:t>
      </w:r>
      <w:r>
        <w:rPr>
          <w:lang w:eastAsia="ja-JP"/>
        </w:rPr>
        <w:t xml:space="preserve"> </w:t>
      </w:r>
      <w:r w:rsidRPr="00066A6C">
        <w:rPr>
          <w:lang w:eastAsia="ja-JP"/>
        </w:rPr>
        <w:t>3</w:t>
      </w:r>
      <w:r w:rsidR="00CA1D38">
        <w:rPr>
          <w:lang w:eastAsia="ja-JP"/>
        </w:rPr>
        <w:t>:</w:t>
      </w:r>
      <w:r w:rsidRPr="00066A6C">
        <w:rPr>
          <w:lang w:eastAsia="ja-JP"/>
        </w:rPr>
        <w:t xml:space="preserve"> Lower Ku Uplink</w:t>
      </w:r>
      <w:r>
        <w:rPr>
          <w:lang w:eastAsia="ja-JP"/>
        </w:rPr>
        <w:t xml:space="preserve"> 12.75-13.25 confirmed for satellite at WRC-23</w:t>
      </w:r>
    </w:p>
    <w:p w14:paraId="7DB68859" w14:textId="592824C7" w:rsidR="008D0FD6" w:rsidRPr="003A0344" w:rsidRDefault="008D0FD6" w:rsidP="005B5110">
      <w:pPr>
        <w:rPr>
          <w:lang w:eastAsia="ja-JP"/>
        </w:rPr>
      </w:pPr>
      <w:r w:rsidRPr="003A0344">
        <w:rPr>
          <w:lang w:eastAsia="ja-JP"/>
        </w:rPr>
        <w:t xml:space="preserve">Proposals to consider IMT operation in the range 12.75-13.25 </w:t>
      </w:r>
      <w:r w:rsidR="00215A59" w:rsidRPr="003A0344">
        <w:rPr>
          <w:lang w:eastAsia="ja-JP"/>
        </w:rPr>
        <w:t xml:space="preserve">GHz </w:t>
      </w:r>
      <w:r w:rsidRPr="003A0344">
        <w:rPr>
          <w:lang w:eastAsia="ja-JP"/>
        </w:rPr>
        <w:t xml:space="preserve">were </w:t>
      </w:r>
      <w:r w:rsidR="00FC2579" w:rsidRPr="003A0344">
        <w:rPr>
          <w:lang w:eastAsia="ja-JP"/>
        </w:rPr>
        <w:t xml:space="preserve">rejected </w:t>
      </w:r>
      <w:r w:rsidRPr="003A0344">
        <w:rPr>
          <w:lang w:eastAsia="ja-JP"/>
        </w:rPr>
        <w:t>at WRC</w:t>
      </w:r>
      <w:r w:rsidR="00215A59" w:rsidRPr="003A0344">
        <w:rPr>
          <w:lang w:eastAsia="ja-JP"/>
        </w:rPr>
        <w:t>-</w:t>
      </w:r>
      <w:r w:rsidR="00FC2579" w:rsidRPr="003A0344">
        <w:rPr>
          <w:lang w:eastAsia="ja-JP"/>
        </w:rPr>
        <w:t>23</w:t>
      </w:r>
      <w:r w:rsidR="00311988" w:rsidRPr="003A0344">
        <w:rPr>
          <w:lang w:eastAsia="ja-JP"/>
        </w:rPr>
        <w:t>.</w:t>
      </w:r>
    </w:p>
    <w:p w14:paraId="35BD622D" w14:textId="22601991" w:rsidR="00A41381" w:rsidRDefault="00A41381" w:rsidP="004F6464">
      <w:pPr>
        <w:rPr>
          <w:lang w:eastAsia="ja-JP"/>
        </w:rPr>
      </w:pPr>
      <w:r>
        <w:rPr>
          <w:lang w:eastAsia="ja-JP"/>
        </w:rPr>
        <w:t>In region</w:t>
      </w:r>
      <w:r w:rsidR="004F6464">
        <w:rPr>
          <w:lang w:eastAsia="ja-JP"/>
        </w:rPr>
        <w:t xml:space="preserve"> </w:t>
      </w:r>
      <w:r>
        <w:rPr>
          <w:lang w:eastAsia="ja-JP"/>
        </w:rPr>
        <w:t>2, earth-space</w:t>
      </w:r>
      <w:r w:rsidR="004F6464">
        <w:rPr>
          <w:lang w:eastAsia="ja-JP"/>
        </w:rPr>
        <w:t xml:space="preserve"> is permitted between 12.70-12.75 GHz,</w:t>
      </w:r>
      <w:r>
        <w:rPr>
          <w:lang w:eastAsia="ja-JP"/>
        </w:rPr>
        <w:t xml:space="preserve"> so could extend uplink1 from 12.70</w:t>
      </w:r>
      <w:r w:rsidR="004F6464">
        <w:rPr>
          <w:lang w:eastAsia="ja-JP"/>
        </w:rPr>
        <w:t>-13.25 GHz</w:t>
      </w:r>
      <w:r w:rsidR="003A0344">
        <w:rPr>
          <w:lang w:eastAsia="ja-JP"/>
        </w:rPr>
        <w:t>.</w:t>
      </w:r>
    </w:p>
    <w:p w14:paraId="192EED55" w14:textId="617234C0" w:rsidR="00FC2579" w:rsidRDefault="00FC2579" w:rsidP="008D0FD6">
      <w:pPr>
        <w:rPr>
          <w:i/>
          <w:iCs/>
          <w:lang w:eastAsia="ja-JP"/>
        </w:rPr>
      </w:pPr>
    </w:p>
    <w:p w14:paraId="26B43AC5" w14:textId="63FE6526" w:rsidR="001A5702" w:rsidRPr="001A5702" w:rsidRDefault="001A5702" w:rsidP="001A5702">
      <w:pPr>
        <w:pStyle w:val="Heading2"/>
        <w:rPr>
          <w:lang w:eastAsia="ja-JP"/>
        </w:rPr>
      </w:pPr>
      <w:r w:rsidRPr="001A5702">
        <w:rPr>
          <w:lang w:eastAsia="ja-JP"/>
        </w:rPr>
        <w:t>Note 4</w:t>
      </w:r>
      <w:r w:rsidR="00CA1D38">
        <w:rPr>
          <w:lang w:eastAsia="ja-JP"/>
        </w:rPr>
        <w:t>:</w:t>
      </w:r>
      <w:r>
        <w:rPr>
          <w:lang w:eastAsia="ja-JP"/>
        </w:rPr>
        <w:t xml:space="preserve"> Small antennas for Ku uplink 13.75-14.0 GHz</w:t>
      </w:r>
    </w:p>
    <w:p w14:paraId="58DBF8DB" w14:textId="249E3F93" w:rsidR="00EB525F" w:rsidRPr="00372C28" w:rsidRDefault="00EB525F" w:rsidP="004F6464">
      <w:pPr>
        <w:rPr>
          <w:lang w:eastAsia="ja-JP"/>
        </w:rPr>
      </w:pPr>
      <w:r w:rsidRPr="00372C28">
        <w:rPr>
          <w:lang w:eastAsia="ja-JP"/>
        </w:rPr>
        <w:t xml:space="preserve">For 13.75-14.0 GHz, ITU has minimum terminal antenna size requirements of 1.2m for GSO and 4.5m for NGSO.  14.0-14.5 </w:t>
      </w:r>
      <w:r w:rsidR="00215A59" w:rsidRPr="00372C28">
        <w:rPr>
          <w:lang w:eastAsia="ja-JP"/>
        </w:rPr>
        <w:t xml:space="preserve">GHz </w:t>
      </w:r>
      <w:r w:rsidRPr="00372C28">
        <w:rPr>
          <w:lang w:eastAsia="ja-JP"/>
        </w:rPr>
        <w:t>only has restrictions for earth stations on vessels of 1.2m with flexibility for smaller antennas where 1.2m requirements can be met. The 4.5m requirement on 13.75</w:t>
      </w:r>
      <w:r w:rsidR="004F6464">
        <w:rPr>
          <w:lang w:eastAsia="ja-JP"/>
        </w:rPr>
        <w:t xml:space="preserve"> </w:t>
      </w:r>
      <w:r w:rsidRPr="00372C28">
        <w:rPr>
          <w:lang w:eastAsia="ja-JP"/>
        </w:rPr>
        <w:t>-</w:t>
      </w:r>
      <w:r w:rsidR="004F6464">
        <w:rPr>
          <w:lang w:eastAsia="ja-JP"/>
        </w:rPr>
        <w:t xml:space="preserve"> </w:t>
      </w:r>
      <w:r w:rsidRPr="00372C28">
        <w:rPr>
          <w:lang w:eastAsia="ja-JP"/>
        </w:rPr>
        <w:t>14.0</w:t>
      </w:r>
      <w:r w:rsidR="004F6464">
        <w:rPr>
          <w:lang w:eastAsia="ja-JP"/>
        </w:rPr>
        <w:t xml:space="preserve"> </w:t>
      </w:r>
      <w:r w:rsidRPr="00372C28">
        <w:rPr>
          <w:lang w:eastAsia="ja-JP"/>
        </w:rPr>
        <w:t xml:space="preserve">GHz </w:t>
      </w:r>
      <w:r w:rsidR="004F6464">
        <w:rPr>
          <w:lang w:eastAsia="ja-JP"/>
        </w:rPr>
        <w:t xml:space="preserve">is on the agenda for </w:t>
      </w:r>
      <w:r w:rsidRPr="00372C28">
        <w:rPr>
          <w:lang w:eastAsia="ja-JP"/>
        </w:rPr>
        <w:t>at WRC</w:t>
      </w:r>
      <w:r w:rsidR="00215A59" w:rsidRPr="00372C28">
        <w:rPr>
          <w:lang w:eastAsia="ja-JP"/>
        </w:rPr>
        <w:t>-</w:t>
      </w:r>
      <w:r w:rsidRPr="00372C28">
        <w:rPr>
          <w:lang w:eastAsia="ja-JP"/>
        </w:rPr>
        <w:t>27</w:t>
      </w:r>
      <w:r w:rsidR="00FC2579" w:rsidRPr="00372C28">
        <w:rPr>
          <w:lang w:eastAsia="ja-JP"/>
        </w:rPr>
        <w:t xml:space="preserve"> </w:t>
      </w:r>
      <w:r w:rsidR="004F6464">
        <w:rPr>
          <w:lang w:eastAsia="ja-JP"/>
        </w:rPr>
        <w:t xml:space="preserve">and may </w:t>
      </w:r>
      <w:r w:rsidR="00311988">
        <w:rPr>
          <w:lang w:eastAsia="ja-JP"/>
        </w:rPr>
        <w:t xml:space="preserve">consider </w:t>
      </w:r>
      <w:r w:rsidR="004F6464">
        <w:rPr>
          <w:lang w:eastAsia="ja-JP"/>
        </w:rPr>
        <w:t xml:space="preserve">a </w:t>
      </w:r>
      <w:r w:rsidR="00311988">
        <w:rPr>
          <w:lang w:eastAsia="ja-JP"/>
        </w:rPr>
        <w:t>smaller terminal size</w:t>
      </w:r>
      <w:r w:rsidR="00FC2579" w:rsidRPr="00372C28">
        <w:rPr>
          <w:lang w:eastAsia="ja-JP"/>
        </w:rPr>
        <w:t>.</w:t>
      </w:r>
      <w:r w:rsidRPr="00372C28">
        <w:rPr>
          <w:lang w:eastAsia="ja-JP"/>
        </w:rPr>
        <w:t xml:space="preserve"> </w:t>
      </w:r>
    </w:p>
    <w:p w14:paraId="13D1EEF0" w14:textId="317B4A48" w:rsidR="00372C28" w:rsidRDefault="00372C28" w:rsidP="005B5110">
      <w:pPr>
        <w:pStyle w:val="Heading2"/>
        <w:rPr>
          <w:lang w:eastAsia="ja-JP"/>
        </w:rPr>
      </w:pPr>
      <w:r>
        <w:rPr>
          <w:lang w:eastAsia="ja-JP"/>
        </w:rPr>
        <w:t>Note 5</w:t>
      </w:r>
      <w:r w:rsidR="00CA1D38">
        <w:rPr>
          <w:lang w:eastAsia="ja-JP"/>
        </w:rPr>
        <w:t>:</w:t>
      </w:r>
      <w:r>
        <w:rPr>
          <w:lang w:eastAsia="ja-JP"/>
        </w:rPr>
        <w:t xml:space="preserve"> Future IMT study band 14.8-15.35 GHz</w:t>
      </w:r>
    </w:p>
    <w:p w14:paraId="6F006DD4" w14:textId="3BC40BF5" w:rsidR="005B5110" w:rsidRPr="003A0344" w:rsidRDefault="005B5110" w:rsidP="005B5110">
      <w:pPr>
        <w:rPr>
          <w:lang w:eastAsia="ja-JP"/>
        </w:rPr>
      </w:pPr>
      <w:r w:rsidRPr="003A0344">
        <w:rPr>
          <w:lang w:eastAsia="ja-JP"/>
        </w:rPr>
        <w:t>The set of future IMT study bands on the agenda for WRC</w:t>
      </w:r>
      <w:r w:rsidR="0077330F" w:rsidRPr="003A0344">
        <w:rPr>
          <w:lang w:eastAsia="ja-JP"/>
        </w:rPr>
        <w:t>-</w:t>
      </w:r>
      <w:r w:rsidRPr="003A0344">
        <w:rPr>
          <w:lang w:eastAsia="ja-JP"/>
        </w:rPr>
        <w:t>27 are as follows. All proposals to consider IMT within the Ku band frequency range were rejected at WRC-23.</w:t>
      </w:r>
    </w:p>
    <w:p w14:paraId="4F462B69" w14:textId="755E847C" w:rsidR="005B5110" w:rsidRDefault="005B5110" w:rsidP="008A1AC6">
      <w:pPr>
        <w:rPr>
          <w:i/>
          <w:iCs/>
          <w:lang w:eastAsia="ja-JP"/>
        </w:rPr>
      </w:pPr>
      <w:r w:rsidRPr="00FC2579">
        <w:rPr>
          <w:i/>
          <w:iCs/>
          <w:noProof/>
          <w:lang w:eastAsia="ja-JP"/>
        </w:rPr>
        <w:drawing>
          <wp:inline distT="0" distB="0" distL="0" distR="0" wp14:anchorId="460D87FA" wp14:editId="10265046">
            <wp:extent cx="5662613" cy="1175059"/>
            <wp:effectExtent l="0" t="0" r="0" b="6350"/>
            <wp:docPr id="966568403"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568403" name="Picture 1" descr="A white background with black text&#10;&#10;Description automatically generated"/>
                    <pic:cNvPicPr/>
                  </pic:nvPicPr>
                  <pic:blipFill>
                    <a:blip r:embed="rId12"/>
                    <a:stretch>
                      <a:fillRect/>
                    </a:stretch>
                  </pic:blipFill>
                  <pic:spPr>
                    <a:xfrm>
                      <a:off x="0" y="0"/>
                      <a:ext cx="5746283" cy="1192422"/>
                    </a:xfrm>
                    <a:prstGeom prst="rect">
                      <a:avLst/>
                    </a:prstGeom>
                  </pic:spPr>
                </pic:pic>
              </a:graphicData>
            </a:graphic>
          </wp:inline>
        </w:drawing>
      </w:r>
    </w:p>
    <w:p w14:paraId="1CF735D5" w14:textId="763910A1" w:rsidR="00DD25DE" w:rsidRDefault="00DD25DE" w:rsidP="00DD25DE">
      <w:pPr>
        <w:pStyle w:val="Heading2"/>
        <w:rPr>
          <w:lang w:eastAsia="ja-JP"/>
        </w:rPr>
      </w:pPr>
      <w:r>
        <w:rPr>
          <w:lang w:eastAsia="ja-JP"/>
        </w:rPr>
        <w:t>G</w:t>
      </w:r>
      <w:r w:rsidR="00CA1D38">
        <w:rPr>
          <w:lang w:eastAsia="ja-JP"/>
        </w:rPr>
        <w:t>EO A</w:t>
      </w:r>
      <w:r>
        <w:rPr>
          <w:lang w:eastAsia="ja-JP"/>
        </w:rPr>
        <w:t>rc protection</w:t>
      </w:r>
      <w:r w:rsidR="002A1739">
        <w:rPr>
          <w:lang w:eastAsia="ja-JP"/>
        </w:rPr>
        <w:t xml:space="preserve"> applies across </w:t>
      </w:r>
      <w:r w:rsidR="00A75643">
        <w:rPr>
          <w:lang w:eastAsia="ja-JP"/>
        </w:rPr>
        <w:t>all FR2-NTN bands with directive VSAT UEs</w:t>
      </w:r>
    </w:p>
    <w:p w14:paraId="0B9AC9FA" w14:textId="50541AD9" w:rsidR="00715892" w:rsidRPr="003A0344" w:rsidRDefault="001C7EB8" w:rsidP="00715892">
      <w:pPr>
        <w:rPr>
          <w:lang w:eastAsia="ja-JP"/>
        </w:rPr>
      </w:pPr>
      <w:r w:rsidRPr="003A0344">
        <w:rPr>
          <w:lang w:eastAsia="ja-JP"/>
        </w:rPr>
        <w:t xml:space="preserve">Where </w:t>
      </w:r>
      <w:r w:rsidR="00311988" w:rsidRPr="003A0344">
        <w:rPr>
          <w:lang w:eastAsia="ja-JP"/>
        </w:rPr>
        <w:t>RR Article 22.2 applied</w:t>
      </w:r>
      <w:r w:rsidRPr="003A0344">
        <w:rPr>
          <w:lang w:eastAsia="ja-JP"/>
        </w:rPr>
        <w:t xml:space="preserve">, GSO can claim protection from NGSO. In practice this means </w:t>
      </w:r>
      <w:r w:rsidR="001A22AE" w:rsidRPr="003A0344">
        <w:rPr>
          <w:lang w:eastAsia="ja-JP"/>
        </w:rPr>
        <w:t>neither NGSO SAN nor UE can tra</w:t>
      </w:r>
      <w:r w:rsidR="00715892" w:rsidRPr="003A0344">
        <w:rPr>
          <w:lang w:eastAsia="ja-JP"/>
        </w:rPr>
        <w:t>ns</w:t>
      </w:r>
      <w:r w:rsidR="001A22AE" w:rsidRPr="003A0344">
        <w:rPr>
          <w:lang w:eastAsia="ja-JP"/>
        </w:rPr>
        <w:t>mit to each other when aligned with GSO</w:t>
      </w:r>
      <w:r w:rsidR="00311988" w:rsidRPr="003A0344">
        <w:rPr>
          <w:lang w:eastAsia="ja-JP"/>
        </w:rPr>
        <w:t xml:space="preserve"> arc.</w:t>
      </w:r>
    </w:p>
    <w:p w14:paraId="350D86C7" w14:textId="77777777" w:rsidR="00752458" w:rsidRPr="00DD25DE" w:rsidRDefault="00752458" w:rsidP="00DD25DE">
      <w:pPr>
        <w:rPr>
          <w:lang w:eastAsia="ja-JP"/>
        </w:rPr>
      </w:pPr>
    </w:p>
    <w:p w14:paraId="3B8AA66F" w14:textId="21E4BC47" w:rsidR="00AA5A24" w:rsidRPr="00E94F08" w:rsidRDefault="00E94F08" w:rsidP="00E94F08">
      <w:pPr>
        <w:pStyle w:val="Heading1"/>
      </w:pPr>
      <w:r w:rsidRPr="00E94F08">
        <w:t>4</w:t>
      </w:r>
      <w:r w:rsidRPr="00E94F08">
        <w:tab/>
      </w:r>
      <w:r w:rsidR="00666F4F" w:rsidRPr="00E94F08">
        <w:t>Summary of Ku band definition</w:t>
      </w:r>
    </w:p>
    <w:p w14:paraId="65E72626" w14:textId="77777777" w:rsidR="00B54C05" w:rsidRDefault="00B54C05" w:rsidP="00B54C05">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4166" w:type="pct"/>
        <w:tblInd w:w="-5" w:type="dxa"/>
        <w:tblLook w:val="04A0" w:firstRow="1" w:lastRow="0" w:firstColumn="1" w:lastColumn="0" w:noHBand="0" w:noVBand="1"/>
      </w:tblPr>
      <w:tblGrid>
        <w:gridCol w:w="1037"/>
        <w:gridCol w:w="2647"/>
        <w:gridCol w:w="2835"/>
        <w:gridCol w:w="993"/>
      </w:tblGrid>
      <w:tr w:rsidR="00440031" w14:paraId="37AF8682" w14:textId="77777777" w:rsidTr="00440031">
        <w:tc>
          <w:tcPr>
            <w:tcW w:w="690" w:type="pct"/>
            <w:tcBorders>
              <w:top w:val="single" w:sz="4" w:space="0" w:color="auto"/>
              <w:left w:val="single" w:sz="4" w:space="0" w:color="auto"/>
              <w:bottom w:val="single" w:sz="4" w:space="0" w:color="auto"/>
              <w:right w:val="single" w:sz="4" w:space="0" w:color="auto"/>
            </w:tcBorders>
          </w:tcPr>
          <w:p w14:paraId="6FAF6E52" w14:textId="77777777" w:rsidR="00B54C05" w:rsidRPr="00050D2D" w:rsidRDefault="00B54C05" w:rsidP="00050D2D">
            <w:pPr>
              <w:spacing w:line="256" w:lineRule="auto"/>
              <w:jc w:val="center"/>
              <w:rPr>
                <w:rFonts w:ascii="Arial" w:hAnsi="Arial" w:cs="Arial"/>
                <w:b/>
                <w:bCs/>
                <w:sz w:val="18"/>
                <w:szCs w:val="18"/>
                <w:lang w:val="sv-SE"/>
              </w:rPr>
            </w:pPr>
            <w:r w:rsidRPr="00050D2D">
              <w:rPr>
                <w:rFonts w:ascii="Arial" w:hAnsi="Arial" w:cs="Arial"/>
                <w:b/>
                <w:sz w:val="18"/>
                <w:szCs w:val="18"/>
              </w:rPr>
              <w:t xml:space="preserve">Satellite </w:t>
            </w:r>
            <w:r w:rsidRPr="00050D2D">
              <w:rPr>
                <w:rFonts w:ascii="Arial" w:hAnsi="Arial" w:cs="Arial"/>
                <w:b/>
                <w:i/>
                <w:sz w:val="18"/>
                <w:szCs w:val="18"/>
              </w:rPr>
              <w:t>operating band</w:t>
            </w:r>
          </w:p>
        </w:tc>
        <w:tc>
          <w:tcPr>
            <w:tcW w:w="1762" w:type="pct"/>
            <w:tcBorders>
              <w:top w:val="single" w:sz="4" w:space="0" w:color="auto"/>
              <w:left w:val="single" w:sz="4" w:space="0" w:color="auto"/>
              <w:bottom w:val="single" w:sz="4" w:space="0" w:color="auto"/>
              <w:right w:val="single" w:sz="4" w:space="0" w:color="auto"/>
            </w:tcBorders>
          </w:tcPr>
          <w:p w14:paraId="38283CEC" w14:textId="77777777" w:rsidR="00B54C05" w:rsidRPr="00820B02" w:rsidRDefault="00B54C05" w:rsidP="00050D2D">
            <w:pPr>
              <w:pStyle w:val="TAH"/>
              <w:rPr>
                <w:rFonts w:cs="Arial"/>
                <w:szCs w:val="18"/>
                <w:lang w:val="en-US"/>
              </w:rPr>
            </w:pPr>
            <w:r w:rsidRPr="00820B02">
              <w:rPr>
                <w:rFonts w:cs="Arial"/>
                <w:szCs w:val="18"/>
                <w:lang w:val="en-US"/>
              </w:rPr>
              <w:t xml:space="preserve">Uplink (UL) </w:t>
            </w:r>
            <w:r w:rsidRPr="00820B02">
              <w:rPr>
                <w:rFonts w:cs="Arial"/>
                <w:i/>
                <w:szCs w:val="18"/>
                <w:lang w:val="en-US"/>
              </w:rPr>
              <w:t>operating band</w:t>
            </w:r>
            <w:r w:rsidRPr="00820B02">
              <w:rPr>
                <w:rFonts w:cs="Arial"/>
                <w:szCs w:val="18"/>
                <w:lang w:val="en-US"/>
              </w:rPr>
              <w:br/>
            </w:r>
            <w:r w:rsidRPr="002301BF">
              <w:rPr>
                <w:rFonts w:cs="Arial"/>
                <w:szCs w:val="18"/>
                <w:lang w:val="en-US" w:eastAsia="zh-CN"/>
              </w:rPr>
              <w:t>SAN</w:t>
            </w:r>
            <w:r w:rsidRPr="00820B02">
              <w:rPr>
                <w:rFonts w:cs="Arial"/>
                <w:szCs w:val="18"/>
                <w:lang w:val="en-US"/>
              </w:rPr>
              <w:t xml:space="preserve"> receive / UE transmit</w:t>
            </w:r>
          </w:p>
          <w:p w14:paraId="7AB5EA65" w14:textId="2C946107" w:rsidR="00B54C05" w:rsidRPr="00050D2D" w:rsidRDefault="00B54C05" w:rsidP="00050D2D">
            <w:pPr>
              <w:spacing w:line="256" w:lineRule="auto"/>
              <w:jc w:val="center"/>
              <w:rPr>
                <w:rFonts w:ascii="Arial" w:hAnsi="Arial" w:cs="Arial"/>
                <w:b/>
                <w:bCs/>
                <w:sz w:val="18"/>
                <w:szCs w:val="18"/>
                <w:lang w:val="sv-SE"/>
              </w:rPr>
            </w:pPr>
            <w:r w:rsidRPr="00050D2D">
              <w:rPr>
                <w:rFonts w:ascii="Arial" w:hAnsi="Arial" w:cs="Arial"/>
                <w:b/>
                <w:sz w:val="18"/>
                <w:szCs w:val="18"/>
              </w:rPr>
              <w:t>F</w:t>
            </w:r>
            <w:r w:rsidRPr="00050D2D">
              <w:rPr>
                <w:rFonts w:ascii="Arial" w:hAnsi="Arial" w:cs="Arial"/>
                <w:b/>
                <w:sz w:val="18"/>
                <w:szCs w:val="18"/>
                <w:vertAlign w:val="subscript"/>
              </w:rPr>
              <w:t>UL,low</w:t>
            </w:r>
            <w:r w:rsidRPr="00050D2D">
              <w:rPr>
                <w:rFonts w:ascii="Arial" w:hAnsi="Arial" w:cs="Arial"/>
                <w:b/>
                <w:sz w:val="18"/>
                <w:szCs w:val="18"/>
              </w:rPr>
              <w:t xml:space="preserve">  –  F</w:t>
            </w:r>
            <w:r w:rsidRPr="00050D2D">
              <w:rPr>
                <w:rFonts w:ascii="Arial" w:hAnsi="Arial" w:cs="Arial"/>
                <w:b/>
                <w:sz w:val="18"/>
                <w:szCs w:val="18"/>
                <w:vertAlign w:val="subscript"/>
              </w:rPr>
              <w:t>UL,high</w:t>
            </w:r>
          </w:p>
        </w:tc>
        <w:tc>
          <w:tcPr>
            <w:tcW w:w="1887" w:type="pct"/>
            <w:tcBorders>
              <w:top w:val="single" w:sz="4" w:space="0" w:color="auto"/>
              <w:left w:val="single" w:sz="4" w:space="0" w:color="auto"/>
              <w:bottom w:val="single" w:sz="4" w:space="0" w:color="auto"/>
              <w:right w:val="single" w:sz="4" w:space="0" w:color="auto"/>
            </w:tcBorders>
          </w:tcPr>
          <w:p w14:paraId="2FEE1B87" w14:textId="77777777" w:rsidR="00B54C05" w:rsidRPr="00820B02" w:rsidRDefault="00B54C05" w:rsidP="00050D2D">
            <w:pPr>
              <w:pStyle w:val="TAH"/>
              <w:rPr>
                <w:rFonts w:cs="Arial"/>
                <w:szCs w:val="18"/>
                <w:lang w:val="en-US"/>
              </w:rPr>
            </w:pPr>
            <w:r w:rsidRPr="00820B02">
              <w:rPr>
                <w:rFonts w:cs="Arial"/>
                <w:szCs w:val="18"/>
                <w:lang w:val="en-US"/>
              </w:rPr>
              <w:t xml:space="preserve">Downlink (DL) </w:t>
            </w:r>
            <w:r w:rsidRPr="00820B02">
              <w:rPr>
                <w:rFonts w:cs="Arial"/>
                <w:i/>
                <w:szCs w:val="18"/>
                <w:lang w:val="en-US"/>
              </w:rPr>
              <w:t>operating band</w:t>
            </w:r>
            <w:r w:rsidRPr="00820B02">
              <w:rPr>
                <w:rFonts w:cs="Arial"/>
                <w:szCs w:val="18"/>
                <w:lang w:val="en-US"/>
              </w:rPr>
              <w:br/>
            </w:r>
            <w:r w:rsidRPr="002301BF">
              <w:rPr>
                <w:rFonts w:cs="Arial"/>
                <w:szCs w:val="18"/>
                <w:lang w:val="en-US" w:eastAsia="zh-CN"/>
              </w:rPr>
              <w:t>SAN</w:t>
            </w:r>
            <w:r w:rsidRPr="00820B02">
              <w:rPr>
                <w:rFonts w:cs="Arial"/>
                <w:szCs w:val="18"/>
                <w:lang w:val="en-US"/>
              </w:rPr>
              <w:t xml:space="preserve"> transmit / UE receive</w:t>
            </w:r>
          </w:p>
          <w:p w14:paraId="5CA2E72D" w14:textId="535B1299" w:rsidR="00B54C05" w:rsidRPr="00050D2D" w:rsidRDefault="00B54C05" w:rsidP="00050D2D">
            <w:pPr>
              <w:spacing w:line="256" w:lineRule="auto"/>
              <w:jc w:val="center"/>
              <w:rPr>
                <w:rFonts w:ascii="Arial" w:hAnsi="Arial" w:cs="Arial"/>
                <w:b/>
                <w:bCs/>
                <w:sz w:val="18"/>
                <w:szCs w:val="18"/>
                <w:lang w:val="sv-SE"/>
              </w:rPr>
            </w:pPr>
            <w:r w:rsidRPr="00050D2D">
              <w:rPr>
                <w:rFonts w:ascii="Arial" w:hAnsi="Arial" w:cs="Arial"/>
                <w:b/>
                <w:sz w:val="18"/>
                <w:szCs w:val="18"/>
              </w:rPr>
              <w:t>F</w:t>
            </w:r>
            <w:r w:rsidRPr="00050D2D">
              <w:rPr>
                <w:rFonts w:ascii="Arial" w:hAnsi="Arial" w:cs="Arial"/>
                <w:b/>
                <w:sz w:val="18"/>
                <w:szCs w:val="18"/>
                <w:vertAlign w:val="subscript"/>
              </w:rPr>
              <w:t>DL,low</w:t>
            </w:r>
            <w:r w:rsidRPr="00050D2D">
              <w:rPr>
                <w:rFonts w:ascii="Arial" w:hAnsi="Arial" w:cs="Arial"/>
                <w:b/>
                <w:sz w:val="18"/>
                <w:szCs w:val="18"/>
              </w:rPr>
              <w:t xml:space="preserve">  –  F</w:t>
            </w:r>
            <w:r w:rsidRPr="00050D2D">
              <w:rPr>
                <w:rFonts w:ascii="Arial" w:hAnsi="Arial" w:cs="Arial"/>
                <w:b/>
                <w:sz w:val="18"/>
                <w:szCs w:val="18"/>
                <w:vertAlign w:val="subscript"/>
              </w:rPr>
              <w:t>DL,high</w:t>
            </w:r>
          </w:p>
        </w:tc>
        <w:tc>
          <w:tcPr>
            <w:tcW w:w="661" w:type="pct"/>
            <w:tcBorders>
              <w:top w:val="single" w:sz="4" w:space="0" w:color="auto"/>
              <w:left w:val="single" w:sz="4" w:space="0" w:color="auto"/>
              <w:bottom w:val="single" w:sz="4" w:space="0" w:color="auto"/>
              <w:right w:val="single" w:sz="4" w:space="0" w:color="auto"/>
            </w:tcBorders>
          </w:tcPr>
          <w:p w14:paraId="708BA115" w14:textId="77777777" w:rsidR="00B54C05" w:rsidRPr="00050D2D" w:rsidRDefault="00B54C05" w:rsidP="00050D2D">
            <w:pPr>
              <w:jc w:val="center"/>
              <w:rPr>
                <w:rFonts w:ascii="Arial" w:hAnsi="Arial" w:cs="Arial"/>
                <w:b/>
                <w:bCs/>
                <w:sz w:val="18"/>
                <w:szCs w:val="18"/>
                <w:lang w:val="sv-SE"/>
              </w:rPr>
            </w:pPr>
            <w:r w:rsidRPr="00050D2D">
              <w:rPr>
                <w:rFonts w:ascii="Arial" w:hAnsi="Arial" w:cs="Arial"/>
                <w:b/>
                <w:sz w:val="18"/>
                <w:szCs w:val="18"/>
              </w:rPr>
              <w:t>Duplex mode</w:t>
            </w:r>
          </w:p>
        </w:tc>
      </w:tr>
      <w:tr w:rsidR="00440031" w14:paraId="47F22CEE" w14:textId="77777777" w:rsidTr="00440031">
        <w:tc>
          <w:tcPr>
            <w:tcW w:w="690" w:type="pct"/>
            <w:tcBorders>
              <w:top w:val="single" w:sz="4" w:space="0" w:color="auto"/>
              <w:left w:val="single" w:sz="4" w:space="0" w:color="auto"/>
              <w:bottom w:val="single" w:sz="4" w:space="0" w:color="auto"/>
              <w:right w:val="single" w:sz="4" w:space="0" w:color="auto"/>
            </w:tcBorders>
            <w:vAlign w:val="center"/>
          </w:tcPr>
          <w:p w14:paraId="63C80802" w14:textId="7C9BFA21" w:rsidR="00B54C05" w:rsidRPr="00050D2D" w:rsidRDefault="00666F4F" w:rsidP="00050D2D">
            <w:pPr>
              <w:spacing w:line="256" w:lineRule="auto"/>
              <w:jc w:val="center"/>
              <w:rPr>
                <w:rFonts w:ascii="Arial" w:hAnsi="Arial" w:cs="Arial"/>
                <w:sz w:val="18"/>
                <w:szCs w:val="18"/>
                <w:lang w:val="sv-SE"/>
              </w:rPr>
            </w:pPr>
            <w:r>
              <w:rPr>
                <w:rFonts w:ascii="Arial" w:hAnsi="Arial" w:cs="Arial"/>
                <w:sz w:val="18"/>
                <w:szCs w:val="18"/>
                <w:lang w:val="sv-SE"/>
              </w:rPr>
              <w:t>:</w:t>
            </w:r>
          </w:p>
        </w:tc>
        <w:tc>
          <w:tcPr>
            <w:tcW w:w="1762" w:type="pct"/>
            <w:tcBorders>
              <w:top w:val="single" w:sz="4" w:space="0" w:color="auto"/>
              <w:left w:val="single" w:sz="4" w:space="0" w:color="auto"/>
              <w:bottom w:val="single" w:sz="4" w:space="0" w:color="auto"/>
              <w:right w:val="single" w:sz="4" w:space="0" w:color="auto"/>
            </w:tcBorders>
            <w:vAlign w:val="center"/>
          </w:tcPr>
          <w:p w14:paraId="0BE82C51" w14:textId="4CB149B1" w:rsidR="00B54C05" w:rsidRPr="00050D2D" w:rsidRDefault="00D96D57" w:rsidP="00050D2D">
            <w:pPr>
              <w:spacing w:line="256" w:lineRule="auto"/>
              <w:jc w:val="center"/>
              <w:rPr>
                <w:rFonts w:ascii="Arial" w:hAnsi="Arial" w:cs="Arial"/>
                <w:sz w:val="18"/>
                <w:szCs w:val="18"/>
                <w:lang w:val="sv-SE"/>
              </w:rPr>
            </w:pPr>
            <w:r>
              <w:rPr>
                <w:rFonts w:ascii="Arial" w:hAnsi="Arial" w:cs="Arial"/>
                <w:sz w:val="18"/>
                <w:szCs w:val="18"/>
                <w:lang w:val="sv-SE"/>
              </w:rPr>
              <w:t>:</w:t>
            </w:r>
          </w:p>
        </w:tc>
        <w:tc>
          <w:tcPr>
            <w:tcW w:w="1887" w:type="pct"/>
            <w:tcBorders>
              <w:top w:val="single" w:sz="4" w:space="0" w:color="auto"/>
              <w:left w:val="single" w:sz="4" w:space="0" w:color="auto"/>
              <w:bottom w:val="single" w:sz="4" w:space="0" w:color="auto"/>
              <w:right w:val="single" w:sz="4" w:space="0" w:color="auto"/>
            </w:tcBorders>
            <w:vAlign w:val="center"/>
          </w:tcPr>
          <w:p w14:paraId="64F8CF01" w14:textId="64244BD0" w:rsidR="00B54C05" w:rsidRPr="00050D2D" w:rsidRDefault="00D96D57" w:rsidP="00050D2D">
            <w:pPr>
              <w:spacing w:line="256" w:lineRule="auto"/>
              <w:jc w:val="center"/>
              <w:rPr>
                <w:rFonts w:ascii="Arial" w:hAnsi="Arial" w:cs="Arial"/>
                <w:sz w:val="18"/>
                <w:szCs w:val="18"/>
                <w:lang w:val="sv-SE"/>
              </w:rPr>
            </w:pPr>
            <w:r>
              <w:rPr>
                <w:rFonts w:ascii="Arial" w:hAnsi="Arial" w:cs="Arial"/>
                <w:sz w:val="18"/>
                <w:szCs w:val="18"/>
                <w:lang w:val="sv-SE"/>
              </w:rPr>
              <w:t>:</w:t>
            </w:r>
          </w:p>
        </w:tc>
        <w:tc>
          <w:tcPr>
            <w:tcW w:w="661" w:type="pct"/>
            <w:tcBorders>
              <w:top w:val="single" w:sz="4" w:space="0" w:color="auto"/>
              <w:left w:val="single" w:sz="4" w:space="0" w:color="auto"/>
              <w:bottom w:val="single" w:sz="4" w:space="0" w:color="auto"/>
              <w:right w:val="single" w:sz="4" w:space="0" w:color="auto"/>
            </w:tcBorders>
          </w:tcPr>
          <w:p w14:paraId="382A4051" w14:textId="67134BF5" w:rsidR="00B54C05" w:rsidRPr="00050D2D" w:rsidRDefault="00B54C05" w:rsidP="00050D2D">
            <w:pPr>
              <w:spacing w:line="256" w:lineRule="auto"/>
              <w:jc w:val="center"/>
              <w:rPr>
                <w:rFonts w:ascii="Arial" w:hAnsi="Arial" w:cs="Arial"/>
                <w:sz w:val="18"/>
                <w:szCs w:val="18"/>
                <w:lang w:val="sv-SE"/>
              </w:rPr>
            </w:pPr>
          </w:p>
        </w:tc>
      </w:tr>
      <w:tr w:rsidR="00A501E5" w14:paraId="34B270E0" w14:textId="77777777" w:rsidTr="00D47119">
        <w:trPr>
          <w:trHeight w:val="351"/>
        </w:trPr>
        <w:tc>
          <w:tcPr>
            <w:tcW w:w="690" w:type="pct"/>
            <w:tcBorders>
              <w:top w:val="single" w:sz="4" w:space="0" w:color="auto"/>
              <w:left w:val="single" w:sz="4" w:space="0" w:color="auto"/>
              <w:bottom w:val="single" w:sz="4" w:space="0" w:color="auto"/>
              <w:right w:val="single" w:sz="4" w:space="0" w:color="auto"/>
            </w:tcBorders>
            <w:vAlign w:val="center"/>
          </w:tcPr>
          <w:p w14:paraId="5737F6EB" w14:textId="1C683749" w:rsidR="00A501E5" w:rsidRDefault="004F6464" w:rsidP="00D47119">
            <w:pPr>
              <w:spacing w:line="256" w:lineRule="auto"/>
              <w:rPr>
                <w:rFonts w:ascii="Arial" w:hAnsi="Arial" w:cs="Arial"/>
                <w:sz w:val="18"/>
                <w:szCs w:val="18"/>
                <w:lang w:val="sv-SE"/>
              </w:rPr>
            </w:pPr>
            <w:r>
              <w:rPr>
                <w:rFonts w:ascii="Arial" w:hAnsi="Arial" w:cs="Arial"/>
                <w:sz w:val="18"/>
                <w:szCs w:val="18"/>
                <w:lang w:val="sv-SE"/>
              </w:rPr>
              <w:t>N</w:t>
            </w:r>
            <w:r w:rsidR="00F70B7E">
              <w:rPr>
                <w:rFonts w:ascii="Arial" w:hAnsi="Arial" w:cs="Arial"/>
                <w:sz w:val="18"/>
                <w:szCs w:val="18"/>
                <w:lang w:val="sv-SE"/>
              </w:rPr>
              <w:t>xxa</w:t>
            </w:r>
          </w:p>
        </w:tc>
        <w:tc>
          <w:tcPr>
            <w:tcW w:w="1762" w:type="pct"/>
            <w:tcBorders>
              <w:top w:val="single" w:sz="4" w:space="0" w:color="auto"/>
              <w:left w:val="single" w:sz="4" w:space="0" w:color="auto"/>
              <w:bottom w:val="single" w:sz="4" w:space="0" w:color="auto"/>
              <w:right w:val="single" w:sz="4" w:space="0" w:color="auto"/>
            </w:tcBorders>
            <w:vAlign w:val="center"/>
          </w:tcPr>
          <w:p w14:paraId="19087881" w14:textId="510FD5F4"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w:t>
            </w:r>
            <w:r>
              <w:rPr>
                <w:rFonts w:ascii="Arial" w:hAnsi="Arial" w:cs="Arial"/>
                <w:sz w:val="18"/>
                <w:szCs w:val="18"/>
                <w:lang w:val="sv-SE"/>
              </w:rPr>
              <w:t>2</w:t>
            </w:r>
            <w:r w:rsidRPr="009523A5">
              <w:rPr>
                <w:rFonts w:ascii="Arial" w:hAnsi="Arial" w:cs="Arial"/>
                <w:sz w:val="18"/>
                <w:szCs w:val="18"/>
                <w:lang w:val="sv-SE"/>
              </w:rPr>
              <w:t>7</w:t>
            </w:r>
            <w:r>
              <w:rPr>
                <w:rFonts w:ascii="Arial" w:hAnsi="Arial" w:cs="Arial"/>
                <w:sz w:val="18"/>
                <w:szCs w:val="18"/>
                <w:lang w:val="sv-SE"/>
              </w:rPr>
              <w:t>50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xml:space="preserve">- </w:t>
            </w:r>
            <w:r>
              <w:rPr>
                <w:rFonts w:ascii="Arial" w:hAnsi="Arial" w:cs="Arial"/>
                <w:sz w:val="18"/>
                <w:szCs w:val="18"/>
                <w:lang w:val="sv-SE"/>
              </w:rPr>
              <w:t>13250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r w:rsidR="004F6464">
              <w:rPr>
                <w:rFonts w:ascii="Arial" w:hAnsi="Arial" w:cs="Arial"/>
                <w:sz w:val="18"/>
                <w:szCs w:val="18"/>
                <w:lang w:val="sv-SE"/>
              </w:rPr>
              <w:t xml:space="preserve"> </w:t>
            </w:r>
            <w:r w:rsidR="004F6464" w:rsidRPr="00D47119">
              <w:rPr>
                <w:rFonts w:ascii="Arial" w:hAnsi="Arial" w:cs="Arial"/>
                <w:sz w:val="18"/>
                <w:szCs w:val="18"/>
                <w:vertAlign w:val="superscript"/>
                <w:lang w:val="sv-SE"/>
              </w:rPr>
              <w:t>6</w:t>
            </w:r>
          </w:p>
        </w:tc>
        <w:tc>
          <w:tcPr>
            <w:tcW w:w="1887" w:type="pct"/>
            <w:tcBorders>
              <w:top w:val="single" w:sz="4" w:space="0" w:color="auto"/>
              <w:left w:val="single" w:sz="4" w:space="0" w:color="auto"/>
              <w:bottom w:val="single" w:sz="4" w:space="0" w:color="auto"/>
              <w:right w:val="single" w:sz="4" w:space="0" w:color="auto"/>
            </w:tcBorders>
            <w:vAlign w:val="center"/>
          </w:tcPr>
          <w:p w14:paraId="7503AC40" w14:textId="6B3DD2B2"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107</w:t>
            </w:r>
            <w:r>
              <w:rPr>
                <w:rFonts w:ascii="Arial" w:hAnsi="Arial" w:cs="Arial"/>
                <w:sz w:val="18"/>
                <w:szCs w:val="18"/>
                <w:lang w:val="sv-SE"/>
              </w:rPr>
              <w:t>00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- 127</w:t>
            </w:r>
            <w:r>
              <w:rPr>
                <w:rFonts w:ascii="Arial" w:hAnsi="Arial" w:cs="Arial"/>
                <w:sz w:val="18"/>
                <w:szCs w:val="18"/>
                <w:lang w:val="sv-SE"/>
              </w:rPr>
              <w:t>50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r>
              <w:rPr>
                <w:rFonts w:ascii="Arial" w:hAnsi="Arial" w:cs="Arial"/>
                <w:sz w:val="18"/>
                <w:szCs w:val="18"/>
                <w:lang w:val="sv-SE"/>
              </w:rPr>
              <w:t xml:space="preserve"> </w:t>
            </w:r>
            <w:r w:rsidRPr="002F4DA0">
              <w:rPr>
                <w:rFonts w:ascii="Arial" w:hAnsi="Arial" w:cs="Arial"/>
                <w:sz w:val="18"/>
                <w:szCs w:val="18"/>
                <w:vertAlign w:val="superscript"/>
                <w:lang w:val="sv-SE"/>
              </w:rPr>
              <w:t>4</w:t>
            </w:r>
          </w:p>
        </w:tc>
        <w:tc>
          <w:tcPr>
            <w:tcW w:w="661" w:type="pct"/>
            <w:tcBorders>
              <w:top w:val="single" w:sz="4" w:space="0" w:color="auto"/>
              <w:left w:val="single" w:sz="4" w:space="0" w:color="auto"/>
              <w:bottom w:val="single" w:sz="4" w:space="0" w:color="auto"/>
              <w:right w:val="single" w:sz="4" w:space="0" w:color="auto"/>
            </w:tcBorders>
          </w:tcPr>
          <w:p w14:paraId="28F406B7" w14:textId="3DC8F07F" w:rsidR="00A501E5" w:rsidRDefault="00A501E5" w:rsidP="00A501E5">
            <w:pPr>
              <w:spacing w:line="256" w:lineRule="auto"/>
              <w:jc w:val="center"/>
              <w:rPr>
                <w:rFonts w:ascii="Arial" w:hAnsi="Arial" w:cs="Arial"/>
                <w:sz w:val="18"/>
                <w:szCs w:val="18"/>
                <w:lang w:val="sv-SE"/>
              </w:rPr>
            </w:pPr>
            <w:r>
              <w:rPr>
                <w:rFonts w:ascii="Arial" w:hAnsi="Arial" w:cs="Arial"/>
                <w:sz w:val="18"/>
                <w:szCs w:val="18"/>
                <w:lang w:val="sv-SE"/>
              </w:rPr>
              <w:t>FDD</w:t>
            </w:r>
          </w:p>
        </w:tc>
      </w:tr>
      <w:tr w:rsidR="00A501E5" w14:paraId="6BDED296" w14:textId="77777777" w:rsidTr="00440031">
        <w:tc>
          <w:tcPr>
            <w:tcW w:w="690" w:type="pct"/>
            <w:tcBorders>
              <w:top w:val="single" w:sz="4" w:space="0" w:color="auto"/>
              <w:left w:val="single" w:sz="4" w:space="0" w:color="auto"/>
              <w:bottom w:val="single" w:sz="4" w:space="0" w:color="auto"/>
              <w:right w:val="single" w:sz="4" w:space="0" w:color="auto"/>
            </w:tcBorders>
            <w:vAlign w:val="center"/>
          </w:tcPr>
          <w:p w14:paraId="1359D73A" w14:textId="0DEFEB33" w:rsidR="00A501E5" w:rsidRDefault="00640D8F" w:rsidP="00D47119">
            <w:pPr>
              <w:spacing w:line="256" w:lineRule="auto"/>
              <w:rPr>
                <w:rFonts w:ascii="Arial" w:hAnsi="Arial" w:cs="Arial"/>
                <w:sz w:val="18"/>
                <w:szCs w:val="18"/>
                <w:lang w:val="sv-SE"/>
              </w:rPr>
            </w:pPr>
            <w:r>
              <w:rPr>
                <w:rFonts w:ascii="Arial" w:hAnsi="Arial" w:cs="Arial"/>
                <w:sz w:val="18"/>
                <w:szCs w:val="18"/>
                <w:lang w:val="sv-SE"/>
              </w:rPr>
              <w:t xml:space="preserve">Nxxb </w:t>
            </w:r>
          </w:p>
        </w:tc>
        <w:tc>
          <w:tcPr>
            <w:tcW w:w="1762" w:type="pct"/>
            <w:tcBorders>
              <w:top w:val="single" w:sz="4" w:space="0" w:color="auto"/>
              <w:left w:val="single" w:sz="4" w:space="0" w:color="auto"/>
              <w:bottom w:val="single" w:sz="4" w:space="0" w:color="auto"/>
              <w:right w:val="single" w:sz="4" w:space="0" w:color="auto"/>
            </w:tcBorders>
            <w:vAlign w:val="center"/>
          </w:tcPr>
          <w:p w14:paraId="78A27D25" w14:textId="4E7C2724"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w:t>
            </w:r>
            <w:r>
              <w:rPr>
                <w:rFonts w:ascii="Arial" w:hAnsi="Arial" w:cs="Arial"/>
                <w:sz w:val="18"/>
                <w:szCs w:val="18"/>
                <w:lang w:val="sv-SE"/>
              </w:rPr>
              <w:t>3</w:t>
            </w:r>
            <w:r w:rsidRPr="009523A5">
              <w:rPr>
                <w:rFonts w:ascii="Arial" w:hAnsi="Arial" w:cs="Arial"/>
                <w:sz w:val="18"/>
                <w:szCs w:val="18"/>
                <w:lang w:val="sv-SE"/>
              </w:rPr>
              <w:t>7</w:t>
            </w:r>
            <w:r>
              <w:rPr>
                <w:rFonts w:ascii="Arial" w:hAnsi="Arial" w:cs="Arial"/>
                <w:sz w:val="18"/>
                <w:szCs w:val="18"/>
                <w:lang w:val="sv-SE"/>
              </w:rPr>
              <w:t>50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xml:space="preserve">- </w:t>
            </w:r>
            <w:r>
              <w:rPr>
                <w:rFonts w:ascii="Arial" w:hAnsi="Arial" w:cs="Arial"/>
                <w:sz w:val="18"/>
                <w:szCs w:val="18"/>
                <w:lang w:val="sv-SE"/>
              </w:rPr>
              <w:t>14000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r w:rsidR="004F6464">
              <w:rPr>
                <w:rFonts w:ascii="Arial" w:hAnsi="Arial" w:cs="Arial"/>
                <w:sz w:val="18"/>
                <w:szCs w:val="18"/>
                <w:lang w:val="sv-SE"/>
              </w:rPr>
              <w:t xml:space="preserve"> </w:t>
            </w:r>
            <w:r w:rsidR="004F6464" w:rsidRPr="00D47119">
              <w:rPr>
                <w:rFonts w:ascii="Arial" w:hAnsi="Arial" w:cs="Arial"/>
                <w:sz w:val="18"/>
                <w:szCs w:val="18"/>
                <w:vertAlign w:val="superscript"/>
                <w:lang w:val="sv-SE"/>
              </w:rPr>
              <w:t>5</w:t>
            </w:r>
          </w:p>
        </w:tc>
        <w:tc>
          <w:tcPr>
            <w:tcW w:w="1887" w:type="pct"/>
            <w:tcBorders>
              <w:top w:val="single" w:sz="4" w:space="0" w:color="auto"/>
              <w:left w:val="single" w:sz="4" w:space="0" w:color="auto"/>
              <w:bottom w:val="single" w:sz="4" w:space="0" w:color="auto"/>
              <w:right w:val="single" w:sz="4" w:space="0" w:color="auto"/>
            </w:tcBorders>
            <w:vAlign w:val="center"/>
          </w:tcPr>
          <w:p w14:paraId="0CA7F3AC" w14:textId="12BD0196"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107</w:t>
            </w:r>
            <w:r>
              <w:rPr>
                <w:rFonts w:ascii="Arial" w:hAnsi="Arial" w:cs="Arial"/>
                <w:sz w:val="18"/>
                <w:szCs w:val="18"/>
                <w:lang w:val="sv-SE"/>
              </w:rPr>
              <w:t>00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- 127</w:t>
            </w:r>
            <w:r>
              <w:rPr>
                <w:rFonts w:ascii="Arial" w:hAnsi="Arial" w:cs="Arial"/>
                <w:sz w:val="18"/>
                <w:szCs w:val="18"/>
                <w:lang w:val="sv-SE"/>
              </w:rPr>
              <w:t>50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r>
              <w:rPr>
                <w:rFonts w:ascii="Arial" w:hAnsi="Arial" w:cs="Arial"/>
                <w:sz w:val="18"/>
                <w:szCs w:val="18"/>
                <w:lang w:val="sv-SE"/>
              </w:rPr>
              <w:t xml:space="preserve"> </w:t>
            </w:r>
            <w:r w:rsidRPr="002F4DA0">
              <w:rPr>
                <w:rFonts w:ascii="Arial" w:hAnsi="Arial" w:cs="Arial"/>
                <w:sz w:val="18"/>
                <w:szCs w:val="18"/>
                <w:vertAlign w:val="superscript"/>
                <w:lang w:val="sv-SE"/>
              </w:rPr>
              <w:t>4</w:t>
            </w:r>
          </w:p>
        </w:tc>
        <w:tc>
          <w:tcPr>
            <w:tcW w:w="661" w:type="pct"/>
            <w:tcBorders>
              <w:top w:val="single" w:sz="4" w:space="0" w:color="auto"/>
              <w:left w:val="single" w:sz="4" w:space="0" w:color="auto"/>
              <w:bottom w:val="single" w:sz="4" w:space="0" w:color="auto"/>
              <w:right w:val="single" w:sz="4" w:space="0" w:color="auto"/>
            </w:tcBorders>
          </w:tcPr>
          <w:p w14:paraId="223BD172" w14:textId="78A671F1" w:rsidR="00A501E5" w:rsidRDefault="00A501E5" w:rsidP="00A501E5">
            <w:pPr>
              <w:spacing w:line="256" w:lineRule="auto"/>
              <w:jc w:val="center"/>
              <w:rPr>
                <w:rFonts w:ascii="Arial" w:hAnsi="Arial" w:cs="Arial"/>
                <w:sz w:val="18"/>
                <w:szCs w:val="18"/>
                <w:lang w:val="sv-SE"/>
              </w:rPr>
            </w:pPr>
            <w:r>
              <w:rPr>
                <w:rFonts w:ascii="Arial" w:hAnsi="Arial" w:cs="Arial"/>
                <w:sz w:val="18"/>
                <w:szCs w:val="18"/>
                <w:lang w:val="sv-SE"/>
              </w:rPr>
              <w:t>FDD</w:t>
            </w:r>
          </w:p>
        </w:tc>
      </w:tr>
      <w:tr w:rsidR="00A501E5" w14:paraId="0D300A62" w14:textId="77777777" w:rsidTr="00440031">
        <w:tc>
          <w:tcPr>
            <w:tcW w:w="690" w:type="pct"/>
            <w:tcBorders>
              <w:top w:val="single" w:sz="4" w:space="0" w:color="auto"/>
              <w:left w:val="single" w:sz="4" w:space="0" w:color="auto"/>
              <w:bottom w:val="single" w:sz="4" w:space="0" w:color="auto"/>
              <w:right w:val="single" w:sz="4" w:space="0" w:color="auto"/>
            </w:tcBorders>
            <w:vAlign w:val="center"/>
          </w:tcPr>
          <w:p w14:paraId="21603288" w14:textId="7DF67A4D" w:rsidR="00A501E5" w:rsidRDefault="00640D8F" w:rsidP="00A501E5">
            <w:pPr>
              <w:spacing w:line="256" w:lineRule="auto"/>
              <w:rPr>
                <w:rFonts w:ascii="Arial" w:hAnsi="Arial" w:cs="Arial"/>
                <w:sz w:val="18"/>
                <w:szCs w:val="18"/>
                <w:lang w:val="sv-SE"/>
              </w:rPr>
            </w:pPr>
            <w:r>
              <w:rPr>
                <w:rFonts w:ascii="Arial" w:hAnsi="Arial" w:cs="Arial"/>
                <w:sz w:val="18"/>
                <w:szCs w:val="18"/>
                <w:lang w:val="sv-SE"/>
              </w:rPr>
              <w:t>N</w:t>
            </w:r>
            <w:r w:rsidR="00672B88">
              <w:rPr>
                <w:rFonts w:ascii="Arial" w:hAnsi="Arial" w:cs="Arial"/>
                <w:sz w:val="18"/>
                <w:szCs w:val="18"/>
                <w:lang w:val="sv-SE"/>
              </w:rPr>
              <w:t>xxc</w:t>
            </w:r>
          </w:p>
        </w:tc>
        <w:tc>
          <w:tcPr>
            <w:tcW w:w="1762" w:type="pct"/>
            <w:tcBorders>
              <w:top w:val="single" w:sz="4" w:space="0" w:color="auto"/>
              <w:left w:val="single" w:sz="4" w:space="0" w:color="auto"/>
              <w:bottom w:val="single" w:sz="4" w:space="0" w:color="auto"/>
              <w:right w:val="single" w:sz="4" w:space="0" w:color="auto"/>
            </w:tcBorders>
            <w:vAlign w:val="center"/>
          </w:tcPr>
          <w:p w14:paraId="027F3DE9" w14:textId="34D096D9"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w:t>
            </w:r>
            <w:r>
              <w:rPr>
                <w:rFonts w:ascii="Arial" w:hAnsi="Arial" w:cs="Arial"/>
                <w:sz w:val="18"/>
                <w:szCs w:val="18"/>
                <w:lang w:val="sv-SE"/>
              </w:rPr>
              <w:t>4000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xml:space="preserve">- </w:t>
            </w:r>
            <w:r>
              <w:rPr>
                <w:rFonts w:ascii="Arial" w:hAnsi="Arial" w:cs="Arial"/>
                <w:sz w:val="18"/>
                <w:szCs w:val="18"/>
                <w:lang w:val="sv-SE"/>
              </w:rPr>
              <w:t>14500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p>
        </w:tc>
        <w:tc>
          <w:tcPr>
            <w:tcW w:w="1887" w:type="pct"/>
            <w:tcBorders>
              <w:top w:val="single" w:sz="4" w:space="0" w:color="auto"/>
              <w:left w:val="single" w:sz="4" w:space="0" w:color="auto"/>
              <w:bottom w:val="single" w:sz="4" w:space="0" w:color="auto"/>
              <w:right w:val="single" w:sz="4" w:space="0" w:color="auto"/>
            </w:tcBorders>
            <w:vAlign w:val="center"/>
          </w:tcPr>
          <w:p w14:paraId="6676D774" w14:textId="38E98B0A" w:rsidR="00A501E5" w:rsidRPr="009523A5" w:rsidRDefault="00A501E5" w:rsidP="00A501E5">
            <w:pPr>
              <w:spacing w:line="256" w:lineRule="auto"/>
              <w:jc w:val="center"/>
              <w:rPr>
                <w:rFonts w:ascii="Arial" w:hAnsi="Arial" w:cs="Arial"/>
                <w:sz w:val="18"/>
                <w:szCs w:val="18"/>
                <w:lang w:val="sv-SE"/>
              </w:rPr>
            </w:pPr>
            <w:r w:rsidRPr="009523A5">
              <w:rPr>
                <w:rFonts w:ascii="Arial" w:hAnsi="Arial" w:cs="Arial"/>
                <w:sz w:val="18"/>
                <w:szCs w:val="18"/>
                <w:lang w:val="sv-SE"/>
              </w:rPr>
              <w:t>107</w:t>
            </w:r>
            <w:r>
              <w:rPr>
                <w:rFonts w:ascii="Arial" w:hAnsi="Arial" w:cs="Arial"/>
                <w:sz w:val="18"/>
                <w:szCs w:val="18"/>
                <w:lang w:val="sv-SE"/>
              </w:rPr>
              <w:t>00</w:t>
            </w:r>
            <w:r w:rsidRPr="009523A5">
              <w:rPr>
                <w:rFonts w:ascii="Arial" w:hAnsi="Arial" w:cs="Arial"/>
                <w:sz w:val="18"/>
                <w:szCs w:val="18"/>
                <w:lang w:val="sv-SE"/>
              </w:rPr>
              <w:t xml:space="preserve"> </w:t>
            </w:r>
            <w:r>
              <w:rPr>
                <w:rFonts w:ascii="Arial" w:hAnsi="Arial" w:cs="Arial"/>
                <w:sz w:val="18"/>
                <w:szCs w:val="18"/>
                <w:lang w:val="sv-SE"/>
              </w:rPr>
              <w:t xml:space="preserve">MHz </w:t>
            </w:r>
            <w:r w:rsidRPr="009523A5">
              <w:rPr>
                <w:rFonts w:ascii="Arial" w:hAnsi="Arial" w:cs="Arial"/>
                <w:sz w:val="18"/>
                <w:szCs w:val="18"/>
                <w:lang w:val="sv-SE"/>
              </w:rPr>
              <w:t>- 127</w:t>
            </w:r>
            <w:r>
              <w:rPr>
                <w:rFonts w:ascii="Arial" w:hAnsi="Arial" w:cs="Arial"/>
                <w:sz w:val="18"/>
                <w:szCs w:val="18"/>
                <w:lang w:val="sv-SE"/>
              </w:rPr>
              <w:t>50</w:t>
            </w:r>
            <w:r w:rsidRPr="009523A5">
              <w:rPr>
                <w:rFonts w:ascii="Arial" w:hAnsi="Arial" w:cs="Arial"/>
                <w:sz w:val="18"/>
                <w:szCs w:val="18"/>
                <w:lang w:val="sv-SE"/>
              </w:rPr>
              <w:t xml:space="preserve"> </w:t>
            </w:r>
            <w:r>
              <w:rPr>
                <w:rFonts w:ascii="Arial" w:hAnsi="Arial" w:cs="Arial"/>
                <w:sz w:val="18"/>
                <w:szCs w:val="18"/>
                <w:lang w:val="sv-SE"/>
              </w:rPr>
              <w:t>M</w:t>
            </w:r>
            <w:r w:rsidRPr="009523A5">
              <w:rPr>
                <w:rFonts w:ascii="Arial" w:hAnsi="Arial" w:cs="Arial"/>
                <w:sz w:val="18"/>
                <w:szCs w:val="18"/>
                <w:lang w:val="sv-SE"/>
              </w:rPr>
              <w:t>Hz</w:t>
            </w:r>
            <w:r>
              <w:rPr>
                <w:rFonts w:ascii="Arial" w:hAnsi="Arial" w:cs="Arial"/>
                <w:sz w:val="18"/>
                <w:szCs w:val="18"/>
                <w:lang w:val="sv-SE"/>
              </w:rPr>
              <w:t xml:space="preserve"> </w:t>
            </w:r>
            <w:r w:rsidRPr="002F4DA0">
              <w:rPr>
                <w:rFonts w:ascii="Arial" w:hAnsi="Arial" w:cs="Arial"/>
                <w:sz w:val="18"/>
                <w:szCs w:val="18"/>
                <w:vertAlign w:val="superscript"/>
                <w:lang w:val="sv-SE"/>
              </w:rPr>
              <w:t>4</w:t>
            </w:r>
          </w:p>
        </w:tc>
        <w:tc>
          <w:tcPr>
            <w:tcW w:w="661" w:type="pct"/>
            <w:tcBorders>
              <w:top w:val="single" w:sz="4" w:space="0" w:color="auto"/>
              <w:left w:val="single" w:sz="4" w:space="0" w:color="auto"/>
              <w:bottom w:val="single" w:sz="4" w:space="0" w:color="auto"/>
              <w:right w:val="single" w:sz="4" w:space="0" w:color="auto"/>
            </w:tcBorders>
          </w:tcPr>
          <w:p w14:paraId="783465BD" w14:textId="4858CC61" w:rsidR="00A501E5" w:rsidRDefault="00A501E5" w:rsidP="00A501E5">
            <w:pPr>
              <w:spacing w:line="256" w:lineRule="auto"/>
              <w:jc w:val="center"/>
              <w:rPr>
                <w:rFonts w:ascii="Arial" w:hAnsi="Arial" w:cs="Arial"/>
                <w:sz w:val="18"/>
                <w:szCs w:val="18"/>
                <w:lang w:val="sv-SE"/>
              </w:rPr>
            </w:pPr>
            <w:r>
              <w:rPr>
                <w:rFonts w:ascii="Arial" w:hAnsi="Arial" w:cs="Arial"/>
                <w:sz w:val="18"/>
                <w:szCs w:val="18"/>
                <w:lang w:val="sv-SE"/>
              </w:rPr>
              <w:t>FDD</w:t>
            </w:r>
          </w:p>
        </w:tc>
      </w:tr>
      <w:tr w:rsidR="00A501E5" w14:paraId="4281AE1C" w14:textId="77777777" w:rsidTr="00440031">
        <w:tc>
          <w:tcPr>
            <w:tcW w:w="5000" w:type="pct"/>
            <w:gridSpan w:val="4"/>
            <w:tcBorders>
              <w:top w:val="single" w:sz="4" w:space="0" w:color="auto"/>
              <w:left w:val="single" w:sz="4" w:space="0" w:color="auto"/>
              <w:bottom w:val="single" w:sz="4" w:space="0" w:color="auto"/>
              <w:right w:val="single" w:sz="4" w:space="0" w:color="auto"/>
            </w:tcBorders>
            <w:vAlign w:val="center"/>
          </w:tcPr>
          <w:p w14:paraId="2658604E" w14:textId="77777777" w:rsidR="00A501E5" w:rsidRDefault="00A501E5" w:rsidP="00A501E5">
            <w:pPr>
              <w:pStyle w:val="TAN"/>
              <w:rPr>
                <w:lang w:val="en-GB"/>
              </w:rPr>
            </w:pPr>
            <w:r>
              <w:rPr>
                <w:lang w:val="en-GB"/>
              </w:rPr>
              <w:t xml:space="preserve">     </w:t>
            </w:r>
          </w:p>
          <w:p w14:paraId="30E3CE8B" w14:textId="1AC61837" w:rsidR="00A501E5" w:rsidRPr="00A36A6A" w:rsidRDefault="00A501E5" w:rsidP="00A501E5">
            <w:pPr>
              <w:pStyle w:val="TAN"/>
              <w:rPr>
                <w:lang w:val="en-GB"/>
              </w:rPr>
            </w:pPr>
            <w:r>
              <w:rPr>
                <w:lang w:val="en-GB"/>
              </w:rPr>
              <w:t xml:space="preserve">       :</w:t>
            </w:r>
          </w:p>
          <w:p w14:paraId="1BC87444" w14:textId="793D1CAE" w:rsidR="00A501E5" w:rsidRDefault="00A501E5" w:rsidP="00DE55C7">
            <w:pPr>
              <w:pStyle w:val="TAN"/>
              <w:rPr>
                <w:lang w:val="en-GB"/>
              </w:rPr>
            </w:pPr>
            <w:r w:rsidRPr="00A36A6A">
              <w:rPr>
                <w:lang w:val="en-GB"/>
              </w:rPr>
              <w:t xml:space="preserve">NOTE </w:t>
            </w:r>
            <w:r>
              <w:rPr>
                <w:lang w:val="en-GB"/>
              </w:rPr>
              <w:t>4</w:t>
            </w:r>
            <w:r w:rsidRPr="00A36A6A">
              <w:rPr>
                <w:lang w:val="en-GB"/>
              </w:rPr>
              <w:t xml:space="preserve">:   </w:t>
            </w:r>
            <w:r>
              <w:rPr>
                <w:lang w:val="en-GB"/>
              </w:rPr>
              <w:t xml:space="preserve">Allocated </w:t>
            </w:r>
            <w:r w:rsidR="009865EF">
              <w:rPr>
                <w:lang w:val="en-GB"/>
              </w:rPr>
              <w:t xml:space="preserve">downlink </w:t>
            </w:r>
            <w:r>
              <w:rPr>
                <w:lang w:val="en-GB"/>
              </w:rPr>
              <w:t>frequency range extends to 127</w:t>
            </w:r>
            <w:r w:rsidR="00146942">
              <w:rPr>
                <w:lang w:val="en-GB"/>
              </w:rPr>
              <w:t>0</w:t>
            </w:r>
            <w:r>
              <w:rPr>
                <w:lang w:val="en-GB"/>
              </w:rPr>
              <w:t>0 MHz in region 2 and 127</w:t>
            </w:r>
            <w:r w:rsidR="00146942">
              <w:rPr>
                <w:lang w:val="en-GB"/>
              </w:rPr>
              <w:t>5</w:t>
            </w:r>
            <w:r>
              <w:rPr>
                <w:lang w:val="en-GB"/>
              </w:rPr>
              <w:t>0 MHz in Regions 1 and 3</w:t>
            </w:r>
            <w:r w:rsidRPr="00A36A6A">
              <w:rPr>
                <w:lang w:val="en-GB"/>
              </w:rPr>
              <w:t xml:space="preserve">. </w:t>
            </w:r>
          </w:p>
          <w:p w14:paraId="066A8871" w14:textId="388248B5" w:rsidR="004F6464" w:rsidRDefault="00A501E5" w:rsidP="004F6464">
            <w:pPr>
              <w:pStyle w:val="TAN"/>
              <w:rPr>
                <w:lang w:val="en-GB"/>
              </w:rPr>
            </w:pPr>
            <w:r w:rsidRPr="00A36A6A">
              <w:rPr>
                <w:lang w:val="en-GB"/>
              </w:rPr>
              <w:t xml:space="preserve">NOTE </w:t>
            </w:r>
            <w:r w:rsidR="00DE55C7">
              <w:rPr>
                <w:lang w:val="en-GB"/>
              </w:rPr>
              <w:t>5</w:t>
            </w:r>
            <w:r w:rsidRPr="00A36A6A">
              <w:rPr>
                <w:lang w:val="en-GB"/>
              </w:rPr>
              <w:t xml:space="preserve">:   </w:t>
            </w:r>
            <w:r w:rsidR="00B11857">
              <w:rPr>
                <w:lang w:val="en-GB"/>
              </w:rPr>
              <w:t xml:space="preserve">The current </w:t>
            </w:r>
            <w:r w:rsidR="005A131E">
              <w:rPr>
                <w:lang w:val="en-GB"/>
              </w:rPr>
              <w:t xml:space="preserve">4.5m </w:t>
            </w:r>
            <w:r w:rsidR="00B11857">
              <w:rPr>
                <w:lang w:val="en-GB"/>
              </w:rPr>
              <w:t>minimum antenna size for VSAT</w:t>
            </w:r>
            <w:r w:rsidR="005A131E">
              <w:rPr>
                <w:lang w:val="en-GB"/>
              </w:rPr>
              <w:t xml:space="preserve">-NGSO operation in 13750-14000 </w:t>
            </w:r>
            <w:r w:rsidR="00672B88">
              <w:rPr>
                <w:lang w:val="en-GB"/>
              </w:rPr>
              <w:t xml:space="preserve">MHz </w:t>
            </w:r>
            <w:r w:rsidR="005A131E">
              <w:rPr>
                <w:lang w:val="en-GB"/>
              </w:rPr>
              <w:t xml:space="preserve">is on the agenda </w:t>
            </w:r>
            <w:r w:rsidR="00A73FAA">
              <w:rPr>
                <w:lang w:val="en-GB"/>
              </w:rPr>
              <w:t xml:space="preserve">for review at WRC-27, and could potentially be aligned with GSO </w:t>
            </w:r>
            <w:r w:rsidR="00DE55C7">
              <w:rPr>
                <w:lang w:val="en-GB"/>
              </w:rPr>
              <w:t>size of 1.2m</w:t>
            </w:r>
          </w:p>
          <w:p w14:paraId="270947CC" w14:textId="4DFA653C" w:rsidR="004F6464" w:rsidRPr="00442696" w:rsidRDefault="004F6464" w:rsidP="004F6464">
            <w:pPr>
              <w:pStyle w:val="TAN"/>
              <w:rPr>
                <w:lang w:val="en-GB"/>
              </w:rPr>
            </w:pPr>
            <w:r>
              <w:rPr>
                <w:lang w:val="en-GB"/>
              </w:rPr>
              <w:t xml:space="preserve">NOTE 6:   </w:t>
            </w:r>
            <w:bookmarkStart w:id="0" w:name="_Hlk158935678"/>
            <w:r w:rsidRPr="004F6464">
              <w:rPr>
                <w:lang w:val="en-GB"/>
              </w:rPr>
              <w:t>In region</w:t>
            </w:r>
            <w:r>
              <w:rPr>
                <w:lang w:val="en-GB"/>
              </w:rPr>
              <w:t xml:space="preserve"> </w:t>
            </w:r>
            <w:r w:rsidRPr="004F6464">
              <w:rPr>
                <w:lang w:val="en-GB"/>
              </w:rPr>
              <w:t xml:space="preserve">2, 12.70-12.75 GHz allows </w:t>
            </w:r>
            <w:r w:rsidR="00442696" w:rsidRPr="00442696">
              <w:rPr>
                <w:lang w:val="en-GB"/>
              </w:rPr>
              <w:t>earth to space transmission, so uplink range could extend from 12.70 GHz to 13.25 GHz</w:t>
            </w:r>
            <w:bookmarkEnd w:id="0"/>
          </w:p>
          <w:p w14:paraId="22F23FAE" w14:textId="152AF46B" w:rsidR="00A501E5" w:rsidRPr="00050D2D" w:rsidRDefault="00A501E5" w:rsidP="00DE55C7">
            <w:pPr>
              <w:pStyle w:val="TAN"/>
              <w:ind w:left="0" w:firstLine="0"/>
              <w:rPr>
                <w:lang w:val="en-GB"/>
              </w:rPr>
            </w:pPr>
          </w:p>
        </w:tc>
      </w:tr>
    </w:tbl>
    <w:p w14:paraId="274D9202" w14:textId="77777777" w:rsidR="00B54C05" w:rsidRPr="00B54C05" w:rsidRDefault="00B54C05" w:rsidP="00B54C05">
      <w:pPr>
        <w:rPr>
          <w:lang w:eastAsia="ja-JP"/>
        </w:rPr>
      </w:pPr>
    </w:p>
    <w:p w14:paraId="6B9D0A50" w14:textId="5F17AAD6" w:rsidR="00404521" w:rsidRPr="00EC1156" w:rsidRDefault="00E94F08" w:rsidP="00E94F08">
      <w:pPr>
        <w:pStyle w:val="Heading1"/>
      </w:pPr>
      <w:r>
        <w:t>5</w:t>
      </w:r>
      <w:r>
        <w:tab/>
      </w:r>
      <w:r w:rsidR="00EC1156">
        <w:t>References</w:t>
      </w:r>
    </w:p>
    <w:p w14:paraId="2FA6AD17" w14:textId="0719C15D" w:rsidR="00AC1FC6" w:rsidRDefault="00AC1FC6" w:rsidP="004220EC">
      <w:r>
        <w:t xml:space="preserve">[1] RP-232732 </w:t>
      </w:r>
      <w:r w:rsidRPr="00AC1FC6">
        <w:t>3GPP NTN Based Satellite Networks</w:t>
      </w:r>
      <w:r w:rsidR="0064419B">
        <w:t xml:space="preserve"> </w:t>
      </w:r>
      <w:r w:rsidRPr="00AC1FC6">
        <w:t>-</w:t>
      </w:r>
      <w:r w:rsidR="0064419B">
        <w:t xml:space="preserve"> </w:t>
      </w:r>
      <w:r w:rsidRPr="00AC1FC6">
        <w:t>Deployment Considerations</w:t>
      </w:r>
      <w:r w:rsidR="006A1F9E">
        <w:t xml:space="preserve"> </w:t>
      </w:r>
      <w:r w:rsidR="00250D36">
        <w:t>(</w:t>
      </w:r>
      <w:bookmarkStart w:id="1" w:name="_Hlk158937779"/>
      <w:r w:rsidR="00250D36">
        <w:t>GSOA</w:t>
      </w:r>
      <w:r w:rsidR="00FE5635">
        <w:t>,</w:t>
      </w:r>
      <w:r w:rsidR="00215A59">
        <w:t xml:space="preserve"> RAN#102</w:t>
      </w:r>
      <w:r w:rsidR="009A257E">
        <w:t>,</w:t>
      </w:r>
      <w:r w:rsidR="00250D36">
        <w:t xml:space="preserve"> </w:t>
      </w:r>
      <w:bookmarkStart w:id="2" w:name="_Hlk158937738"/>
      <w:r w:rsidR="00FE5635">
        <w:t>Edinburgh</w:t>
      </w:r>
      <w:bookmarkEnd w:id="1"/>
      <w:bookmarkEnd w:id="2"/>
      <w:r w:rsidR="00250D36">
        <w:t>)</w:t>
      </w:r>
    </w:p>
    <w:p w14:paraId="3BFD5C25" w14:textId="3986A0A3" w:rsidR="00016442" w:rsidRDefault="00016442" w:rsidP="00016442">
      <w:r>
        <w:t xml:space="preserve">[2] </w:t>
      </w:r>
      <w:bookmarkStart w:id="3" w:name="_Hlk158936599"/>
      <w:r>
        <w:t>World Radiocommunication Conference 2023 (WRC-23) Provisional Final Acts</w:t>
      </w:r>
      <w:r w:rsidR="00FE5635">
        <w:t xml:space="preserve"> (ITU WRC</w:t>
      </w:r>
      <w:r w:rsidR="009A257E">
        <w:t>,</w:t>
      </w:r>
      <w:r w:rsidR="00FE5635">
        <w:t xml:space="preserve"> </w:t>
      </w:r>
      <w:r>
        <w:t>Dubai</w:t>
      </w:r>
      <w:r w:rsidR="00FE5635">
        <w:t xml:space="preserve"> 2023)</w:t>
      </w:r>
      <w:bookmarkEnd w:id="3"/>
    </w:p>
    <w:p w14:paraId="623ABC1E" w14:textId="0B1FE13A" w:rsidR="00016442" w:rsidRDefault="00640D8F" w:rsidP="0077330F">
      <w:r>
        <w:t xml:space="preserve">[3] </w:t>
      </w:r>
      <w:r w:rsidR="001D3721">
        <w:t>RP-240079</w:t>
      </w:r>
      <w:r w:rsidR="00083236">
        <w:t xml:space="preserve"> </w:t>
      </w:r>
      <w:r w:rsidR="00083236" w:rsidRPr="00083236">
        <w:t xml:space="preserve">Motivation to support mobile VSAT in NGSO deployment scenarios </w:t>
      </w:r>
      <w:r w:rsidR="00DC0155">
        <w:t>(</w:t>
      </w:r>
      <w:r w:rsidR="00083236" w:rsidRPr="00083236">
        <w:t>Eutelsat Group</w:t>
      </w:r>
      <w:r w:rsidR="00F734AC">
        <w:t>,</w:t>
      </w:r>
      <w:r w:rsidR="0095311B">
        <w:t xml:space="preserve"> </w:t>
      </w:r>
      <w:r w:rsidR="00F734AC">
        <w:t xml:space="preserve">Fraunhofer IIS, Fraunhofer HHI, Airbus, ESA, </w:t>
      </w:r>
      <w:proofErr w:type="spellStart"/>
      <w:r w:rsidR="00F734AC">
        <w:t>Novamint</w:t>
      </w:r>
      <w:proofErr w:type="spellEnd"/>
      <w:r w:rsidR="00F734AC">
        <w:t xml:space="preserve">, MediaTek, Sharp, Thales, </w:t>
      </w:r>
      <w:proofErr w:type="spellStart"/>
      <w:r w:rsidR="00F734AC">
        <w:t>SyncTechno</w:t>
      </w:r>
      <w:proofErr w:type="spellEnd"/>
      <w:r w:rsidR="00F734AC">
        <w:t xml:space="preserve"> Inc., Continental Automotive, TTP, </w:t>
      </w:r>
      <w:r w:rsidR="00F734AC" w:rsidRPr="005B5217">
        <w:t>Lockheed Martin</w:t>
      </w:r>
      <w:r w:rsidR="00F734AC">
        <w:t xml:space="preserve">, </w:t>
      </w:r>
      <w:r w:rsidR="00F734AC" w:rsidRPr="001E7E73">
        <w:t xml:space="preserve">Robert </w:t>
      </w:r>
      <w:r w:rsidR="00F734AC">
        <w:t xml:space="preserve">Bosch </w:t>
      </w:r>
      <w:r w:rsidR="00F734AC" w:rsidRPr="001E7E73">
        <w:t>GmbH</w:t>
      </w:r>
      <w:r w:rsidR="00913B03">
        <w:t xml:space="preserve">, </w:t>
      </w:r>
      <w:r w:rsidR="00B3636A" w:rsidRPr="00B3636A">
        <w:t>ETRI, Gilat, OQ Technology</w:t>
      </w:r>
      <w:r w:rsidR="00B3636A">
        <w:t xml:space="preserve">, </w:t>
      </w:r>
      <w:r w:rsidR="00083236" w:rsidRPr="00083236">
        <w:t>RAN#1</w:t>
      </w:r>
      <w:r w:rsidR="001D3721">
        <w:t>03</w:t>
      </w:r>
      <w:r w:rsidR="009A257E">
        <w:t>,</w:t>
      </w:r>
      <w:r w:rsidR="00083236" w:rsidRPr="00083236">
        <w:t xml:space="preserve"> </w:t>
      </w:r>
      <w:r w:rsidR="001D3721">
        <w:t>Maastricht</w:t>
      </w:r>
      <w:r w:rsidR="00DC0155">
        <w:t>)</w:t>
      </w:r>
    </w:p>
    <w:sectPr w:rsidR="0001644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2E19F" w14:textId="77777777" w:rsidR="00165CD7" w:rsidRDefault="00165CD7" w:rsidP="00311958">
      <w:pPr>
        <w:spacing w:after="0" w:line="240" w:lineRule="auto"/>
      </w:pPr>
      <w:r>
        <w:separator/>
      </w:r>
    </w:p>
  </w:endnote>
  <w:endnote w:type="continuationSeparator" w:id="0">
    <w:p w14:paraId="3138403F" w14:textId="77777777" w:rsidR="00165CD7" w:rsidRDefault="00165CD7" w:rsidP="00311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4174579"/>
      <w:docPartObj>
        <w:docPartGallery w:val="Page Numbers (Bottom of Page)"/>
        <w:docPartUnique/>
      </w:docPartObj>
    </w:sdtPr>
    <w:sdtEndPr>
      <w:rPr>
        <w:noProof/>
      </w:rPr>
    </w:sdtEndPr>
    <w:sdtContent>
      <w:p w14:paraId="67BB00B5" w14:textId="2CC7E07B" w:rsidR="00311958" w:rsidRDefault="00E94F08" w:rsidP="00E94F08">
        <w:pPr>
          <w:pStyle w:val="Footer"/>
          <w:jc w:val="cente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Pr>
            <w:color w:val="323E4F" w:themeColor="text2" w:themeShade="BF"/>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Pr>
            <w:color w:val="323E4F" w:themeColor="text2" w:themeShade="BF"/>
          </w:rPr>
          <w:t>5</w:t>
        </w:r>
        <w:r>
          <w:rPr>
            <w:color w:val="323E4F" w:themeColor="text2" w:themeShade="BF"/>
            <w:sz w:val="24"/>
            <w:szCs w:val="24"/>
          </w:rPr>
          <w:fldChar w:fldCharType="end"/>
        </w:r>
      </w:p>
    </w:sdtContent>
  </w:sdt>
  <w:p w14:paraId="79B3B37F" w14:textId="77777777" w:rsidR="00311958" w:rsidRDefault="00311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17AAD" w14:textId="77777777" w:rsidR="00165CD7" w:rsidRDefault="00165CD7" w:rsidP="00311958">
      <w:pPr>
        <w:spacing w:after="0" w:line="240" w:lineRule="auto"/>
      </w:pPr>
      <w:r>
        <w:separator/>
      </w:r>
    </w:p>
  </w:footnote>
  <w:footnote w:type="continuationSeparator" w:id="0">
    <w:p w14:paraId="65ED4830" w14:textId="77777777" w:rsidR="00165CD7" w:rsidRDefault="00165CD7" w:rsidP="003119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94700"/>
    <w:multiLevelType w:val="hybridMultilevel"/>
    <w:tmpl w:val="39D87656"/>
    <w:lvl w:ilvl="0" w:tplc="CECAD30E">
      <w:start w:val="4"/>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F27239"/>
    <w:multiLevelType w:val="hybridMultilevel"/>
    <w:tmpl w:val="8CDE8A74"/>
    <w:lvl w:ilvl="0" w:tplc="F90E3C14">
      <w:start w:val="1"/>
      <w:numFmt w:val="bullet"/>
      <w:lvlText w:val="•"/>
      <w:lvlJc w:val="left"/>
      <w:pPr>
        <w:tabs>
          <w:tab w:val="num" w:pos="720"/>
        </w:tabs>
        <w:ind w:left="720" w:hanging="360"/>
      </w:pPr>
      <w:rPr>
        <w:rFonts w:ascii="Arial" w:hAnsi="Arial" w:hint="default"/>
      </w:rPr>
    </w:lvl>
    <w:lvl w:ilvl="1" w:tplc="2AAEA310" w:tentative="1">
      <w:start w:val="1"/>
      <w:numFmt w:val="bullet"/>
      <w:lvlText w:val="•"/>
      <w:lvlJc w:val="left"/>
      <w:pPr>
        <w:tabs>
          <w:tab w:val="num" w:pos="1440"/>
        </w:tabs>
        <w:ind w:left="1440" w:hanging="360"/>
      </w:pPr>
      <w:rPr>
        <w:rFonts w:ascii="Arial" w:hAnsi="Arial" w:hint="default"/>
      </w:rPr>
    </w:lvl>
    <w:lvl w:ilvl="2" w:tplc="33FC9602" w:tentative="1">
      <w:start w:val="1"/>
      <w:numFmt w:val="bullet"/>
      <w:lvlText w:val="•"/>
      <w:lvlJc w:val="left"/>
      <w:pPr>
        <w:tabs>
          <w:tab w:val="num" w:pos="2160"/>
        </w:tabs>
        <w:ind w:left="2160" w:hanging="360"/>
      </w:pPr>
      <w:rPr>
        <w:rFonts w:ascii="Arial" w:hAnsi="Arial" w:hint="default"/>
      </w:rPr>
    </w:lvl>
    <w:lvl w:ilvl="3" w:tplc="31F8413C" w:tentative="1">
      <w:start w:val="1"/>
      <w:numFmt w:val="bullet"/>
      <w:lvlText w:val="•"/>
      <w:lvlJc w:val="left"/>
      <w:pPr>
        <w:tabs>
          <w:tab w:val="num" w:pos="2880"/>
        </w:tabs>
        <w:ind w:left="2880" w:hanging="360"/>
      </w:pPr>
      <w:rPr>
        <w:rFonts w:ascii="Arial" w:hAnsi="Arial" w:hint="default"/>
      </w:rPr>
    </w:lvl>
    <w:lvl w:ilvl="4" w:tplc="EFB20B76" w:tentative="1">
      <w:start w:val="1"/>
      <w:numFmt w:val="bullet"/>
      <w:lvlText w:val="•"/>
      <w:lvlJc w:val="left"/>
      <w:pPr>
        <w:tabs>
          <w:tab w:val="num" w:pos="3600"/>
        </w:tabs>
        <w:ind w:left="3600" w:hanging="360"/>
      </w:pPr>
      <w:rPr>
        <w:rFonts w:ascii="Arial" w:hAnsi="Arial" w:hint="default"/>
      </w:rPr>
    </w:lvl>
    <w:lvl w:ilvl="5" w:tplc="FBDCE3E8" w:tentative="1">
      <w:start w:val="1"/>
      <w:numFmt w:val="bullet"/>
      <w:lvlText w:val="•"/>
      <w:lvlJc w:val="left"/>
      <w:pPr>
        <w:tabs>
          <w:tab w:val="num" w:pos="4320"/>
        </w:tabs>
        <w:ind w:left="4320" w:hanging="360"/>
      </w:pPr>
      <w:rPr>
        <w:rFonts w:ascii="Arial" w:hAnsi="Arial" w:hint="default"/>
      </w:rPr>
    </w:lvl>
    <w:lvl w:ilvl="6" w:tplc="E34A2CD8" w:tentative="1">
      <w:start w:val="1"/>
      <w:numFmt w:val="bullet"/>
      <w:lvlText w:val="•"/>
      <w:lvlJc w:val="left"/>
      <w:pPr>
        <w:tabs>
          <w:tab w:val="num" w:pos="5040"/>
        </w:tabs>
        <w:ind w:left="5040" w:hanging="360"/>
      </w:pPr>
      <w:rPr>
        <w:rFonts w:ascii="Arial" w:hAnsi="Arial" w:hint="default"/>
      </w:rPr>
    </w:lvl>
    <w:lvl w:ilvl="7" w:tplc="C988EAF4" w:tentative="1">
      <w:start w:val="1"/>
      <w:numFmt w:val="bullet"/>
      <w:lvlText w:val="•"/>
      <w:lvlJc w:val="left"/>
      <w:pPr>
        <w:tabs>
          <w:tab w:val="num" w:pos="5760"/>
        </w:tabs>
        <w:ind w:left="5760" w:hanging="360"/>
      </w:pPr>
      <w:rPr>
        <w:rFonts w:ascii="Arial" w:hAnsi="Arial" w:hint="default"/>
      </w:rPr>
    </w:lvl>
    <w:lvl w:ilvl="8" w:tplc="1E60D2C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EB664CF"/>
    <w:multiLevelType w:val="hybridMultilevel"/>
    <w:tmpl w:val="50AE733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70F651C7"/>
    <w:multiLevelType w:val="multilevel"/>
    <w:tmpl w:val="097400AE"/>
    <w:lvl w:ilvl="0">
      <w:start w:val="1"/>
      <w:numFmt w:val="decimal"/>
      <w:lvlText w:val="%1"/>
      <w:lvlJc w:val="left"/>
      <w:pPr>
        <w:ind w:left="432" w:hanging="432"/>
      </w:pPr>
    </w:lvl>
    <w:lvl w:ilvl="1">
      <w:start w:val="1"/>
      <w:numFmt w:val="decimal"/>
      <w:lvlText w:val="%1.%2"/>
      <w:lvlJc w:val="left"/>
      <w:pPr>
        <w:ind w:left="4262"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10566514">
    <w:abstractNumId w:val="1"/>
  </w:num>
  <w:num w:numId="2" w16cid:durableId="14797643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9109575">
    <w:abstractNumId w:val="0"/>
  </w:num>
  <w:num w:numId="4" w16cid:durableId="1882862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CB6"/>
    <w:rsid w:val="00016442"/>
    <w:rsid w:val="00066A6C"/>
    <w:rsid w:val="00083236"/>
    <w:rsid w:val="00085C0E"/>
    <w:rsid w:val="00094EEA"/>
    <w:rsid w:val="001112CA"/>
    <w:rsid w:val="0014111A"/>
    <w:rsid w:val="00146942"/>
    <w:rsid w:val="00151DF2"/>
    <w:rsid w:val="00165CD7"/>
    <w:rsid w:val="001A22AE"/>
    <w:rsid w:val="001A5702"/>
    <w:rsid w:val="001C7EB8"/>
    <w:rsid w:val="001D2EA9"/>
    <w:rsid w:val="001D3721"/>
    <w:rsid w:val="00215A59"/>
    <w:rsid w:val="002223DA"/>
    <w:rsid w:val="00250D36"/>
    <w:rsid w:val="00255407"/>
    <w:rsid w:val="002647AF"/>
    <w:rsid w:val="00265DBD"/>
    <w:rsid w:val="002854FD"/>
    <w:rsid w:val="00287CA4"/>
    <w:rsid w:val="00291EF1"/>
    <w:rsid w:val="002A1739"/>
    <w:rsid w:val="002B0EF4"/>
    <w:rsid w:val="002B350C"/>
    <w:rsid w:val="002C414C"/>
    <w:rsid w:val="002D3A6C"/>
    <w:rsid w:val="002E2349"/>
    <w:rsid w:val="002F4DA0"/>
    <w:rsid w:val="00311958"/>
    <w:rsid w:val="00311988"/>
    <w:rsid w:val="00315547"/>
    <w:rsid w:val="00333DB8"/>
    <w:rsid w:val="003359B6"/>
    <w:rsid w:val="00336BBA"/>
    <w:rsid w:val="00343FAA"/>
    <w:rsid w:val="0035395E"/>
    <w:rsid w:val="00372C28"/>
    <w:rsid w:val="00390DFF"/>
    <w:rsid w:val="003A0344"/>
    <w:rsid w:val="003D51B4"/>
    <w:rsid w:val="003F36DE"/>
    <w:rsid w:val="00404521"/>
    <w:rsid w:val="00416765"/>
    <w:rsid w:val="004220EC"/>
    <w:rsid w:val="004226B4"/>
    <w:rsid w:val="00440031"/>
    <w:rsid w:val="00442696"/>
    <w:rsid w:val="004565F1"/>
    <w:rsid w:val="004F6464"/>
    <w:rsid w:val="00513688"/>
    <w:rsid w:val="00522620"/>
    <w:rsid w:val="005414F4"/>
    <w:rsid w:val="00571DC4"/>
    <w:rsid w:val="005768AC"/>
    <w:rsid w:val="005A131E"/>
    <w:rsid w:val="005A47D5"/>
    <w:rsid w:val="005B158C"/>
    <w:rsid w:val="005B5110"/>
    <w:rsid w:val="005D0AAA"/>
    <w:rsid w:val="0063097C"/>
    <w:rsid w:val="00640D8F"/>
    <w:rsid w:val="0064419B"/>
    <w:rsid w:val="00650BEF"/>
    <w:rsid w:val="00661E48"/>
    <w:rsid w:val="00666F4F"/>
    <w:rsid w:val="00672B88"/>
    <w:rsid w:val="006A1F9E"/>
    <w:rsid w:val="006E59DC"/>
    <w:rsid w:val="00715892"/>
    <w:rsid w:val="00732EEB"/>
    <w:rsid w:val="00752458"/>
    <w:rsid w:val="00753897"/>
    <w:rsid w:val="0077330F"/>
    <w:rsid w:val="007750FC"/>
    <w:rsid w:val="007A720B"/>
    <w:rsid w:val="007F409E"/>
    <w:rsid w:val="008074FE"/>
    <w:rsid w:val="00820B02"/>
    <w:rsid w:val="0082225F"/>
    <w:rsid w:val="0083143A"/>
    <w:rsid w:val="0084669D"/>
    <w:rsid w:val="00855D80"/>
    <w:rsid w:val="00896C98"/>
    <w:rsid w:val="008A1AC6"/>
    <w:rsid w:val="008B5E63"/>
    <w:rsid w:val="008D0FD6"/>
    <w:rsid w:val="008D1CB6"/>
    <w:rsid w:val="008D4B4B"/>
    <w:rsid w:val="0091336B"/>
    <w:rsid w:val="00913B03"/>
    <w:rsid w:val="0095311B"/>
    <w:rsid w:val="00966823"/>
    <w:rsid w:val="009865EF"/>
    <w:rsid w:val="009A257E"/>
    <w:rsid w:val="00A3086D"/>
    <w:rsid w:val="00A36A6A"/>
    <w:rsid w:val="00A41381"/>
    <w:rsid w:val="00A501E5"/>
    <w:rsid w:val="00A63C52"/>
    <w:rsid w:val="00A73FAA"/>
    <w:rsid w:val="00A752A3"/>
    <w:rsid w:val="00A75643"/>
    <w:rsid w:val="00A815FD"/>
    <w:rsid w:val="00A9448A"/>
    <w:rsid w:val="00AA5A24"/>
    <w:rsid w:val="00AC1FC6"/>
    <w:rsid w:val="00AC4C51"/>
    <w:rsid w:val="00AF2E7E"/>
    <w:rsid w:val="00AF4EBB"/>
    <w:rsid w:val="00B11857"/>
    <w:rsid w:val="00B3636A"/>
    <w:rsid w:val="00B47443"/>
    <w:rsid w:val="00B54C05"/>
    <w:rsid w:val="00B76C7D"/>
    <w:rsid w:val="00BF6706"/>
    <w:rsid w:val="00C424DA"/>
    <w:rsid w:val="00C4666B"/>
    <w:rsid w:val="00CA1D38"/>
    <w:rsid w:val="00CB3563"/>
    <w:rsid w:val="00CB7414"/>
    <w:rsid w:val="00CC157C"/>
    <w:rsid w:val="00CD79C3"/>
    <w:rsid w:val="00D47119"/>
    <w:rsid w:val="00D71CE6"/>
    <w:rsid w:val="00D8431D"/>
    <w:rsid w:val="00D96D57"/>
    <w:rsid w:val="00DB3CF8"/>
    <w:rsid w:val="00DC0155"/>
    <w:rsid w:val="00DD25DE"/>
    <w:rsid w:val="00DE55C7"/>
    <w:rsid w:val="00DF7348"/>
    <w:rsid w:val="00E24FBF"/>
    <w:rsid w:val="00E26FA0"/>
    <w:rsid w:val="00E87E7A"/>
    <w:rsid w:val="00E94F08"/>
    <w:rsid w:val="00E951C3"/>
    <w:rsid w:val="00EA5783"/>
    <w:rsid w:val="00EB1977"/>
    <w:rsid w:val="00EB525F"/>
    <w:rsid w:val="00EC1156"/>
    <w:rsid w:val="00EE20F8"/>
    <w:rsid w:val="00EF4557"/>
    <w:rsid w:val="00F02428"/>
    <w:rsid w:val="00F3259A"/>
    <w:rsid w:val="00F66B38"/>
    <w:rsid w:val="00F70B7E"/>
    <w:rsid w:val="00F734AC"/>
    <w:rsid w:val="00F776D8"/>
    <w:rsid w:val="00F95D98"/>
    <w:rsid w:val="00FC2579"/>
    <w:rsid w:val="00FE5635"/>
    <w:rsid w:val="00FF13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94F08"/>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E94F08"/>
    <w:pPr>
      <w:keepNext/>
      <w:keepLines/>
      <w:spacing w:before="120" w:after="120"/>
      <w:outlineLvl w:val="1"/>
    </w:pPr>
    <w:rPr>
      <w:rFonts w:ascii="Arial" w:eastAsiaTheme="majorEastAsia" w:hAnsi="Arial" w:cstheme="majorBidi"/>
      <w:sz w:val="26"/>
      <w:szCs w:val="26"/>
    </w:rPr>
  </w:style>
  <w:style w:type="paragraph" w:styleId="Heading3">
    <w:name w:val="heading 3"/>
    <w:basedOn w:val="Normal"/>
    <w:next w:val="Normal"/>
    <w:link w:val="Heading3Char"/>
    <w:uiPriority w:val="9"/>
    <w:unhideWhenUsed/>
    <w:qFormat/>
    <w:rsid w:val="00E94F08"/>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94F08"/>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basedOn w:val="DefaultParagraphFont"/>
    <w:link w:val="ListParagraph"/>
    <w:uiPriority w:val="34"/>
    <w:locked/>
    <w:rsid w:val="00FC2579"/>
    <w:rPr>
      <w:rFonts w:ascii="Calibri" w:hAnsi="Calibri" w:cs="Calibri"/>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C2579"/>
    <w:pPr>
      <w:spacing w:after="0" w:line="240" w:lineRule="auto"/>
      <w:ind w:left="720"/>
    </w:pPr>
    <w:rPr>
      <w:rFonts w:ascii="Calibri" w:hAnsi="Calibri" w:cs="Calibri"/>
    </w:rPr>
  </w:style>
  <w:style w:type="character" w:customStyle="1" w:styleId="Heading2Char">
    <w:name w:val="Heading 2 Char"/>
    <w:basedOn w:val="DefaultParagraphFont"/>
    <w:link w:val="Heading2"/>
    <w:uiPriority w:val="9"/>
    <w:rsid w:val="00E94F08"/>
    <w:rPr>
      <w:rFonts w:ascii="Arial" w:eastAsiaTheme="majorEastAsia" w:hAnsi="Arial" w:cstheme="majorBidi"/>
      <w:sz w:val="26"/>
      <w:szCs w:val="26"/>
    </w:rPr>
  </w:style>
  <w:style w:type="paragraph" w:styleId="CommentText">
    <w:name w:val="annotation text"/>
    <w:basedOn w:val="Normal"/>
    <w:link w:val="CommentTextChar"/>
    <w:semiHidden/>
    <w:qFormat/>
    <w:rsid w:val="00B54C05"/>
    <w:pPr>
      <w:spacing w:after="18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semiHidden/>
    <w:rsid w:val="00B54C05"/>
    <w:rPr>
      <w:rFonts w:ascii="Times New Roman" w:eastAsia="Times New Roman" w:hAnsi="Times New Roman" w:cs="Times New Roman"/>
      <w:kern w:val="0"/>
      <w:sz w:val="20"/>
      <w:szCs w:val="20"/>
      <w14:ligatures w14:val="none"/>
    </w:rPr>
  </w:style>
  <w:style w:type="table" w:styleId="TableGrid">
    <w:name w:val="Table Grid"/>
    <w:aliases w:val="TableGrid"/>
    <w:basedOn w:val="TableNormal"/>
    <w:uiPriority w:val="39"/>
    <w:qFormat/>
    <w:rsid w:val="00B54C05"/>
    <w:pPr>
      <w:spacing w:after="0" w:line="240" w:lineRule="auto"/>
    </w:pPr>
    <w:rPr>
      <w:rFonts w:ascii="CG Times (WN)" w:eastAsia="Times New Roman" w:hAnsi="CG Times (W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B54C05"/>
    <w:rPr>
      <w:sz w:val="16"/>
    </w:rPr>
  </w:style>
  <w:style w:type="paragraph" w:customStyle="1" w:styleId="TAH">
    <w:name w:val="TAH"/>
    <w:basedOn w:val="Normal"/>
    <w:link w:val="TAHCar"/>
    <w:uiPriority w:val="99"/>
    <w:qFormat/>
    <w:rsid w:val="00B54C05"/>
    <w:pPr>
      <w:keepNext/>
      <w:keepLines/>
      <w:spacing w:after="0" w:line="240" w:lineRule="auto"/>
      <w:jc w:val="center"/>
    </w:pPr>
    <w:rPr>
      <w:rFonts w:ascii="Arial" w:eastAsia="Times New Roman" w:hAnsi="Arial" w:cs="Times New Roman"/>
      <w:b/>
      <w:kern w:val="0"/>
      <w:sz w:val="18"/>
      <w:szCs w:val="20"/>
      <w14:ligatures w14:val="none"/>
    </w:rPr>
  </w:style>
  <w:style w:type="paragraph" w:customStyle="1" w:styleId="TH">
    <w:name w:val="TH"/>
    <w:basedOn w:val="Normal"/>
    <w:link w:val="THChar"/>
    <w:qFormat/>
    <w:rsid w:val="00B54C05"/>
    <w:pPr>
      <w:keepNext/>
      <w:keepLines/>
      <w:spacing w:before="60" w:after="180" w:line="240" w:lineRule="auto"/>
      <w:jc w:val="center"/>
    </w:pPr>
    <w:rPr>
      <w:rFonts w:ascii="Arial" w:eastAsia="Times New Roman" w:hAnsi="Arial" w:cs="Times New Roman"/>
      <w:b/>
      <w:kern w:val="0"/>
      <w:sz w:val="20"/>
      <w:szCs w:val="20"/>
      <w14:ligatures w14:val="none"/>
    </w:rPr>
  </w:style>
  <w:style w:type="paragraph" w:customStyle="1" w:styleId="TAN">
    <w:name w:val="TAN"/>
    <w:basedOn w:val="Normal"/>
    <w:link w:val="TANChar"/>
    <w:qFormat/>
    <w:rsid w:val="00B54C05"/>
    <w:pPr>
      <w:keepNext/>
      <w:keepLines/>
      <w:spacing w:after="0" w:line="240" w:lineRule="auto"/>
      <w:ind w:left="851" w:hanging="851"/>
    </w:pPr>
    <w:rPr>
      <w:rFonts w:ascii="Arial" w:eastAsia="Times New Roman" w:hAnsi="Arial" w:cs="Times New Roman"/>
      <w:kern w:val="0"/>
      <w:sz w:val="18"/>
      <w:szCs w:val="20"/>
      <w14:ligatures w14:val="none"/>
    </w:rPr>
  </w:style>
  <w:style w:type="character" w:customStyle="1" w:styleId="TAHCar">
    <w:name w:val="TAH Car"/>
    <w:link w:val="TAH"/>
    <w:uiPriority w:val="99"/>
    <w:qFormat/>
    <w:rsid w:val="00B54C05"/>
    <w:rPr>
      <w:rFonts w:ascii="Arial" w:eastAsia="Times New Roman" w:hAnsi="Arial" w:cs="Times New Roman"/>
      <w:b/>
      <w:kern w:val="0"/>
      <w:sz w:val="18"/>
      <w:szCs w:val="20"/>
      <w14:ligatures w14:val="none"/>
    </w:rPr>
  </w:style>
  <w:style w:type="character" w:customStyle="1" w:styleId="THChar">
    <w:name w:val="TH Char"/>
    <w:link w:val="TH"/>
    <w:qFormat/>
    <w:rsid w:val="00B54C05"/>
    <w:rPr>
      <w:rFonts w:ascii="Arial" w:eastAsia="Times New Roman" w:hAnsi="Arial" w:cs="Times New Roman"/>
      <w:b/>
      <w:kern w:val="0"/>
      <w:sz w:val="20"/>
      <w:szCs w:val="20"/>
      <w14:ligatures w14:val="none"/>
    </w:rPr>
  </w:style>
  <w:style w:type="character" w:customStyle="1" w:styleId="TANChar">
    <w:name w:val="TAN Char"/>
    <w:link w:val="TAN"/>
    <w:qFormat/>
    <w:rsid w:val="00B54C05"/>
    <w:rPr>
      <w:rFonts w:ascii="Arial" w:eastAsia="Times New Roman" w:hAnsi="Arial" w:cs="Times New Roman"/>
      <w:kern w:val="0"/>
      <w:sz w:val="18"/>
      <w:szCs w:val="20"/>
      <w14:ligatures w14:val="none"/>
    </w:rPr>
  </w:style>
  <w:style w:type="paragraph" w:styleId="CommentSubject">
    <w:name w:val="annotation subject"/>
    <w:basedOn w:val="CommentText"/>
    <w:next w:val="CommentText"/>
    <w:link w:val="CommentSubjectChar"/>
    <w:uiPriority w:val="99"/>
    <w:semiHidden/>
    <w:unhideWhenUsed/>
    <w:rsid w:val="00146942"/>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14694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3119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958"/>
  </w:style>
  <w:style w:type="paragraph" w:styleId="Footer">
    <w:name w:val="footer"/>
    <w:basedOn w:val="Normal"/>
    <w:link w:val="FooterChar"/>
    <w:uiPriority w:val="99"/>
    <w:unhideWhenUsed/>
    <w:rsid w:val="003119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958"/>
  </w:style>
  <w:style w:type="character" w:customStyle="1" w:styleId="Heading3Char">
    <w:name w:val="Heading 3 Char"/>
    <w:basedOn w:val="DefaultParagraphFont"/>
    <w:link w:val="Heading3"/>
    <w:uiPriority w:val="9"/>
    <w:rsid w:val="00E94F0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057176">
      <w:bodyDiv w:val="1"/>
      <w:marLeft w:val="0"/>
      <w:marRight w:val="0"/>
      <w:marTop w:val="0"/>
      <w:marBottom w:val="0"/>
      <w:divBdr>
        <w:top w:val="none" w:sz="0" w:space="0" w:color="auto"/>
        <w:left w:val="none" w:sz="0" w:space="0" w:color="auto"/>
        <w:bottom w:val="none" w:sz="0" w:space="0" w:color="auto"/>
        <w:right w:val="none" w:sz="0" w:space="0" w:color="auto"/>
      </w:divBdr>
    </w:div>
    <w:div w:id="1122923595">
      <w:bodyDiv w:val="1"/>
      <w:marLeft w:val="0"/>
      <w:marRight w:val="0"/>
      <w:marTop w:val="0"/>
      <w:marBottom w:val="0"/>
      <w:divBdr>
        <w:top w:val="none" w:sz="0" w:space="0" w:color="auto"/>
        <w:left w:val="none" w:sz="0" w:space="0" w:color="auto"/>
        <w:bottom w:val="none" w:sz="0" w:space="0" w:color="auto"/>
        <w:right w:val="none" w:sz="0" w:space="0" w:color="auto"/>
      </w:divBdr>
      <w:divsChild>
        <w:div w:id="1464229085">
          <w:marLeft w:val="274"/>
          <w:marRight w:val="0"/>
          <w:marTop w:val="0"/>
          <w:marBottom w:val="0"/>
          <w:divBdr>
            <w:top w:val="none" w:sz="0" w:space="0" w:color="auto"/>
            <w:left w:val="none" w:sz="0" w:space="0" w:color="auto"/>
            <w:bottom w:val="none" w:sz="0" w:space="0" w:color="auto"/>
            <w:right w:val="none" w:sz="0" w:space="0" w:color="auto"/>
          </w:divBdr>
        </w:div>
        <w:div w:id="1654720419">
          <w:marLeft w:val="274"/>
          <w:marRight w:val="0"/>
          <w:marTop w:val="0"/>
          <w:marBottom w:val="0"/>
          <w:divBdr>
            <w:top w:val="none" w:sz="0" w:space="0" w:color="auto"/>
            <w:left w:val="none" w:sz="0" w:space="0" w:color="auto"/>
            <w:bottom w:val="none" w:sz="0" w:space="0" w:color="auto"/>
            <w:right w:val="none" w:sz="0" w:space="0" w:color="auto"/>
          </w:divBdr>
        </w:div>
        <w:div w:id="1429084199">
          <w:marLeft w:val="274"/>
          <w:marRight w:val="0"/>
          <w:marTop w:val="0"/>
          <w:marBottom w:val="0"/>
          <w:divBdr>
            <w:top w:val="none" w:sz="0" w:space="0" w:color="auto"/>
            <w:left w:val="none" w:sz="0" w:space="0" w:color="auto"/>
            <w:bottom w:val="none" w:sz="0" w:space="0" w:color="auto"/>
            <w:right w:val="none" w:sz="0" w:space="0" w:color="auto"/>
          </w:divBdr>
        </w:div>
        <w:div w:id="545945864">
          <w:marLeft w:val="274"/>
          <w:marRight w:val="0"/>
          <w:marTop w:val="0"/>
          <w:marBottom w:val="0"/>
          <w:divBdr>
            <w:top w:val="none" w:sz="0" w:space="0" w:color="auto"/>
            <w:left w:val="none" w:sz="0" w:space="0" w:color="auto"/>
            <w:bottom w:val="none" w:sz="0" w:space="0" w:color="auto"/>
            <w:right w:val="none" w:sz="0" w:space="0" w:color="auto"/>
          </w:divBdr>
        </w:div>
      </w:divsChild>
    </w:div>
    <w:div w:id="1226572399">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1d45ca0-6321-41b5-a840-73d5e75af7c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EE6DEA339C5864A98A398A9109FD64A" ma:contentTypeVersion="14" ma:contentTypeDescription="Create a new document." ma:contentTypeScope="" ma:versionID="4dda87a4d002934e4a18c8aa027828ec">
  <xsd:schema xmlns:xsd="http://www.w3.org/2001/XMLSchema" xmlns:xs="http://www.w3.org/2001/XMLSchema" xmlns:p="http://schemas.microsoft.com/office/2006/metadata/properties" xmlns:ns3="5b0d8516-c65b-4979-9c40-f294a58bfe7d" xmlns:ns4="d1d45ca0-6321-41b5-a840-73d5e75af7cf" targetNamespace="http://schemas.microsoft.com/office/2006/metadata/properties" ma:root="true" ma:fieldsID="71691f4b8ccd2c16377db23ecf5449eb" ns3:_="" ns4:_="">
    <xsd:import namespace="5b0d8516-c65b-4979-9c40-f294a58bfe7d"/>
    <xsd:import namespace="d1d45ca0-6321-41b5-a840-73d5e75af7cf"/>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8516-c65b-4979-9c40-f294a58bfe7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d45ca0-6321-41b5-a840-73d5e75af7cf"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D291D-192D-4F31-A0AB-BA87C9CC2091}">
  <ds:schemaRefs>
    <ds:schemaRef ds:uri="http://schemas.microsoft.com/office/2006/metadata/properties"/>
    <ds:schemaRef ds:uri="http://schemas.microsoft.com/office/infopath/2007/PartnerControls"/>
    <ds:schemaRef ds:uri="d1d45ca0-6321-41b5-a840-73d5e75af7cf"/>
  </ds:schemaRefs>
</ds:datastoreItem>
</file>

<file path=customXml/itemProps2.xml><?xml version="1.0" encoding="utf-8"?>
<ds:datastoreItem xmlns:ds="http://schemas.openxmlformats.org/officeDocument/2006/customXml" ds:itemID="{6AD362A1-FC70-44DF-BBFF-086CAB2D0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8516-c65b-4979-9c40-f294a58bfe7d"/>
    <ds:schemaRef ds:uri="d1d45ca0-6321-41b5-a840-73d5e75af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ECBE9-C1D3-4BFE-A541-7357F30B7F2C}">
  <ds:schemaRefs>
    <ds:schemaRef ds:uri="http://schemas.microsoft.com/sharepoint/v3/contenttype/forms"/>
  </ds:schemaRefs>
</ds:datastoreItem>
</file>

<file path=customXml/itemProps4.xml><?xml version="1.0" encoding="utf-8"?>
<ds:datastoreItem xmlns:ds="http://schemas.openxmlformats.org/officeDocument/2006/customXml" ds:itemID="{A4C02FBF-ADC0-4DD6-AC1F-7EF14C3A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Spectrum Insight Ltd</cp:lastModifiedBy>
  <cp:revision>2</cp:revision>
  <dcterms:created xsi:type="dcterms:W3CDTF">2024-03-11T16:06:00Z</dcterms:created>
  <dcterms:modified xsi:type="dcterms:W3CDTF">2024-03-11T16:06:00Z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0x010100CEE6DEA339C5864A98A398A9109FD64A</vt:lpwstr>
  </property>
</Properties>
</file>